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1aba7984e54e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SFHCI.K</w:t>
            </w:r>
            <w:r>
              <w:rPr>
                <w:b/>
              </w:rPr>
              <w:br/>
            </w:r>
            <w:r>
              <w:rPr>
                <w:b/>
              </w:rPr>
              <w:t>Produce positron emission tomography/magnetic resonance images (pet/mri)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712c4a3d9745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SFHCI.K SFHCI.K This standard is concerned with the use of Positron Emission Tomography/ Magnetic Resonance imaging (PET/MRI) equipment and procedures to produce images for diagnostic purposes. Key people are those involved in the individual's care and others involved in provision of services. Users of this standard will need to ensure that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SFHCI.K</w:t>
      </w:r>
    </w:p>
    <w:p>
      <w:pPr/>
      <w:r>
        <w:rPr>
          <w:lang w:val="en-GB"/>
        </w:rPr>
        <w:t>SFHCI.K</w:t>
      </w:r>
    </w:p>
    <w:p>
      <w:pPr>
        <w:numPr>
          <w:ilvl w:val="0"/>
          <w:numId w:val="1"/>
        </w:numPr>
      </w:pPr>
      <w:r>
        <w:t>apply standard precautions for infection prevention and control and</w:t>
      </w:r>
    </w:p>
    <w:p>
      <w:pPr>
        <w:numPr>
          <w:ilvl w:val="0"/>
          <w:numId w:val="1"/>
        </w:numPr>
      </w:pPr>
      <w:r>
        <w:t>other appropriate 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Magnetic Resonance imaging safety by use of the</w:t>
      </w:r>
    </w:p>
    <w:p>
      <w:pPr>
        <w:numPr>
          <w:ilvl w:val="0"/>
          <w:numId w:val="1"/>
        </w:numPr>
      </w:pPr>
      <w:r>
        <w:t>department Magnetic Resonance imaging safety check list which will</w:t>
      </w:r>
    </w:p>
    <w:p>
      <w:pPr>
        <w:numPr>
          <w:ilvl w:val="0"/>
          <w:numId w:val="1"/>
        </w:numPr>
      </w:pPr>
      <w:r>
        <w:t>include checking for the presence of ferro-metallic objects/prostheses</w:t>
      </w:r>
    </w:p>
    <w:p>
      <w:pPr>
        <w:numPr>
          <w:ilvl w:val="0"/>
          <w:numId w:val="1"/>
        </w:numPr>
      </w:pPr>
      <w:r>
        <w:t>and implanted medical devices</w:t>
      </w:r>
    </w:p>
    <w:p>
      <w:pPr>
        <w:numPr>
          <w:ilvl w:val="0"/>
          <w:numId w:val="1"/>
        </w:numPr>
      </w:pPr>
      <w:r>
        <w:t>take appropriate action if any of these are found to be present</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0"/>
          <w:numId w:val="1"/>
        </w:numPr>
      </w:pPr>
      <w:r>
        <w:t>assess the individuals clinical and physical condition prior to the</w:t>
      </w:r>
    </w:p>
    <w:p>
      <w:pPr>
        <w:numPr>
          <w:ilvl w:val="0"/>
          <w:numId w:val="1"/>
        </w:numPr>
      </w:pPr>
      <w:r>
        <w:t>start of the examination with a view to proceeding</w:t>
      </w:r>
    </w:p>
    <w:p>
      <w:pPr>
        <w:numPr>
          <w:ilvl w:val="0"/>
          <w:numId w:val="1"/>
        </w:numPr>
      </w:pPr>
      <w:r>
        <w:t>check individuals of child-bearing potential for pregnancy or</w:t>
      </w:r>
    </w:p>
    <w:p>
      <w:pPr>
        <w:numPr>
          <w:ilvl w:val="0"/>
          <w:numId w:val="1"/>
        </w:numPr>
      </w:pPr>
      <w:r>
        <w:t>possible pregnancy and breast-feeding status, if appropriate to the</w:t>
      </w:r>
    </w:p>
    <w:p>
      <w:pPr>
        <w:numPr>
          <w:ilvl w:val="0"/>
          <w:numId w:val="1"/>
        </w:numPr>
      </w:pPr>
      <w:r>
        <w:t>examination, and take action in accordance with local protocols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administer gadolinium using the appropriate equipment</w:t>
      </w:r>
    </w:p>
    <w:p>
      <w:pPr>
        <w:numPr>
          <w:ilvl w:val="0"/>
          <w:numId w:val="1"/>
        </w:numPr>
      </w:pPr>
      <w:r>
        <w:t>confirm the MRI safety status of key people before the examination</w:t>
      </w:r>
    </w:p>
    <w:p>
      <w:pPr>
        <w:numPr>
          <w:ilvl w:val="0"/>
          <w:numId w:val="1"/>
        </w:numPr>
      </w:pPr>
      <w:r>
        <w:t>SFHCI.K</w:t>
      </w:r>
    </w:p>
    <w:p>
      <w:pPr>
        <w:numPr>
          <w:ilvl w:val="0"/>
          <w:numId w:val="1"/>
        </w:numPr>
      </w:pPr>
      <w:r>
        <w:t>and, where their presence is required, adhering to local guidelines</w:t>
      </w:r>
    </w:p>
    <w:p>
      <w:pPr>
        <w:numPr>
          <w:ilvl w:val="0"/>
          <w:numId w:val="1"/>
        </w:numPr>
      </w:pPr>
      <w:r>
        <w:t>enter the identification details of the individual into the Magnetic</w:t>
      </w:r>
    </w:p>
    <w:p>
      <w:pPr>
        <w:numPr>
          <w:ilvl w:val="0"/>
          <w:numId w:val="1"/>
        </w:numPr>
      </w:pPr>
      <w:r>
        <w:t>Resonance scanner or, if details have previously been entered, check</w:t>
      </w:r>
    </w:p>
    <w:p>
      <w:pPr>
        <w:numPr>
          <w:ilvl w:val="0"/>
          <w:numId w:val="1"/>
        </w:numPr>
      </w:pPr>
      <w:r>
        <w:t>them for accuracy</w:t>
      </w:r>
    </w:p>
    <w:p>
      <w:pPr>
        <w:numPr>
          <w:ilvl w:val="0"/>
          <w:numId w:val="1"/>
        </w:numPr>
      </w:pPr>
      <w:r>
        <w:t>select all sequences required for the scan according to local</w:t>
      </w:r>
    </w:p>
    <w:p>
      <w:pPr>
        <w:numPr>
          <w:ilvl w:val="0"/>
          <w:numId w:val="1"/>
        </w:numPr>
      </w:pPr>
      <w:r>
        <w:t>protocols for the procedure, assess and any required modifications and</w:t>
      </w:r>
    </w:p>
    <w:p>
      <w:pPr>
        <w:numPr>
          <w:ilvl w:val="0"/>
          <w:numId w:val="1"/>
        </w:numPr>
      </w:pPr>
      <w:r>
        <w:t>take appropriate action</w:t>
      </w:r>
    </w:p>
    <w:p>
      <w:pPr>
        <w:numPr>
          <w:ilvl w:val="0"/>
          <w:numId w:val="1"/>
        </w:numPr>
      </w:pPr>
      <w:r>
        <w:t>position the individual, provide any hearing protection and adjust</w:t>
      </w:r>
    </w:p>
    <w:p>
      <w:pPr>
        <w:numPr>
          <w:ilvl w:val="0"/>
          <w:numId w:val="1"/>
        </w:numPr>
      </w:pPr>
      <w:r>
        <w:t>their clothing according to the protocols for the examination to be</w:t>
      </w:r>
    </w:p>
    <w:p>
      <w:pPr>
        <w:numPr>
          <w:ilvl w:val="0"/>
          <w:numId w:val="1"/>
        </w:numPr>
      </w:pPr>
      <w:r>
        <w:t>performed in a manner which allows an optimal outcome to be achieved</w:t>
      </w:r>
    </w:p>
    <w:p>
      <w:pPr>
        <w:numPr>
          <w:ilvl w:val="0"/>
          <w:numId w:val="1"/>
        </w:numPr>
      </w:pPr>
      <w:r>
        <w:t>while:</w:t>
      </w:r>
    </w:p>
    <w:p>
      <w:pPr>
        <w:numPr>
          <w:ilvl w:val="0"/>
          <w:numId w:val="1"/>
        </w:numPr>
      </w:pPr>
      <w:r>
        <w:t>25.1 ensuring their comfort as far as possible</w:t>
      </w:r>
    </w:p>
    <w:p>
      <w:pPr>
        <w:numPr>
          <w:ilvl w:val="0"/>
          <w:numId w:val="1"/>
        </w:numPr>
      </w:pPr>
      <w:r>
        <w:t>25.2 preventing the appearance of artefacts</w:t>
      </w:r>
    </w:p>
    <w:p>
      <w:pPr>
        <w:numPr>
          <w:ilvl w:val="0"/>
          <w:numId w:val="1"/>
        </w:numPr>
      </w:pPr>
      <w:r>
        <w:t>correctly and safely position appropriate Radio Frequency (RF)</w:t>
      </w:r>
    </w:p>
    <w:p>
      <w:pPr>
        <w:numPr>
          <w:ilvl w:val="0"/>
          <w:numId w:val="1"/>
        </w:numPr>
      </w:pPr>
      <w:r>
        <w:t>coils, cables and monitoring equipment</w:t>
      </w:r>
    </w:p>
    <w:p>
      <w:pPr>
        <w:numPr>
          <w:ilvl w:val="0"/>
          <w:numId w:val="1"/>
        </w:numPr>
      </w:pPr>
      <w:r>
        <w:t>check the room prior to taking the scan to ensure that only essential</w:t>
      </w:r>
    </w:p>
    <w:p>
      <w:pPr>
        <w:numPr>
          <w:ilvl w:val="0"/>
          <w:numId w:val="1"/>
        </w:numPr>
      </w:pPr>
      <w:r>
        <w:t>protected persons remain and that all local rules have been adhered to,</w:t>
      </w:r>
    </w:p>
    <w:p>
      <w:pPr>
        <w:numPr>
          <w:ilvl w:val="0"/>
          <w:numId w:val="1"/>
        </w:numPr>
      </w:pPr>
      <w:r>
        <w:t>taking appropriate action where necessary</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optimise, record, collate and prepare appropriate documentation</w:t>
      </w:r>
    </w:p>
    <w:p>
      <w:pPr>
        <w:numPr>
          <w:ilvl w:val="0"/>
          <w:numId w:val="1"/>
        </w:numPr>
      </w:pPr>
      <w:r>
        <w:t>and images for transfer or storage according to local 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SFHCI.K</w:t>
      </w:r>
    </w:p>
    <w:p>
      <w:pPr/>
      <w:r>
        <w:rPr>
          <w:lang w:val="en-GB"/>
        </w:rPr>
        <w:t>SFHCI.K</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medical terminology relevant to the examination, including</w:t>
      </w:r>
    </w:p>
    <w:p>
      <w:pPr>
        <w:numPr>
          <w:ilvl w:val="0"/>
          <w:numId w:val="2"/>
        </w:numPr>
      </w:pPr>
      <w:r>
        <w:t>abbreviations</w:t>
      </w:r>
    </w:p>
    <w:p>
      <w:pPr>
        <w:numPr>
          <w:ilvl w:val="0"/>
          <w:numId w:val="2"/>
        </w:numPr>
      </w:pPr>
      <w:r>
        <w:t>the relevant physiology of the areas to be scanned</w:t>
      </w:r>
    </w:p>
    <w:p>
      <w:pPr>
        <w:numPr>
          <w:ilvl w:val="0"/>
          <w:numId w:val="2"/>
        </w:numPr>
      </w:pPr>
      <w:r>
        <w:t>the common normal variants and their appearance on Magnetic</w:t>
      </w:r>
    </w:p>
    <w:p>
      <w:pPr>
        <w:numPr>
          <w:ilvl w:val="0"/>
          <w:numId w:val="2"/>
        </w:numPr>
      </w:pPr>
      <w:r>
        <w:t>Resonance images</w:t>
      </w:r>
    </w:p>
    <w:p>
      <w:pPr>
        <w:numPr>
          <w:ilvl w:val="0"/>
          <w:numId w:val="2"/>
        </w:numPr>
      </w:pPr>
      <w:r>
        <w:t>common pathologies of the areas to be scanned and their</w:t>
      </w:r>
    </w:p>
    <w:p>
      <w:pPr>
        <w:numPr>
          <w:ilvl w:val="0"/>
          <w:numId w:val="2"/>
        </w:numPr>
      </w:pPr>
      <w:r>
        <w:t>appearance on Magnetic Resonance images</w:t>
      </w:r>
    </w:p>
    <w:p>
      <w:pPr>
        <w:numPr>
          <w:ilvl w:val="0"/>
          <w:numId w:val="2"/>
        </w:numPr>
      </w:pPr>
      <w:r>
        <w:t>manifestations of individuals physical and emotional status</w:t>
      </w:r>
    </w:p>
    <w:p>
      <w:pPr>
        <w:numPr>
          <w:ilvl w:val="0"/>
          <w:numId w:val="2"/>
        </w:numPr>
      </w:pPr>
      <w:r>
        <w:t>contra-indications to Magnetic Resonance scanning, including</w:t>
      </w:r>
    </w:p>
    <w:p>
      <w:pPr>
        <w:numPr>
          <w:ilvl w:val="0"/>
          <w:numId w:val="2"/>
        </w:numPr>
      </w:pPr>
      <w:r>
        <w:t>absolute and relative</w:t>
      </w:r>
    </w:p>
    <w:p>
      <w:pPr>
        <w:numPr>
          <w:ilvl w:val="0"/>
          <w:numId w:val="2"/>
        </w:numPr>
      </w:pPr>
      <w:r>
        <w:t>contra-indications to PET/MRI scanning including the clinical</w:t>
      </w:r>
    </w:p>
    <w:p>
      <w:pPr>
        <w:numPr>
          <w:ilvl w:val="0"/>
          <w:numId w:val="2"/>
        </w:numPr>
      </w:pPr>
      <w:r>
        <w:t>implications of any allergies, pregnancy status, breastfeeding</w:t>
      </w:r>
    </w:p>
    <w:p>
      <w:pPr>
        <w:numPr>
          <w:ilvl w:val="0"/>
          <w:numId w:val="2"/>
        </w:numPr>
      </w:pPr>
      <w:r>
        <w:t>status and uncontrolled diabetes mellitus relevant to the</w:t>
      </w:r>
    </w:p>
    <w:p>
      <w:pPr>
        <w:numPr>
          <w:ilvl w:val="0"/>
          <w:numId w:val="2"/>
        </w:numPr>
      </w:pPr>
      <w:r>
        <w:t>examination</w:t>
      </w:r>
    </w:p>
    <w:p>
      <w:pPr>
        <w:numPr>
          <w:ilvl w:val="0"/>
          <w:numId w:val="2"/>
        </w:numPr>
      </w:pPr>
      <w:r>
        <w:t>contraindications to MRI contrast agents including the clinical</w:t>
      </w:r>
    </w:p>
    <w:p>
      <w:pPr>
        <w:numPr>
          <w:ilvl w:val="0"/>
          <w:numId w:val="2"/>
        </w:numPr>
      </w:pPr>
      <w:r>
        <w:t>implications of any allergy relevant to the examination</w:t>
      </w:r>
    </w:p>
    <w:p>
      <w:pPr>
        <w:numPr>
          <w:ilvl w:val="0"/>
          <w:numId w:val="2"/>
        </w:numPr>
      </w:pPr>
      <w:r>
        <w:t>the importance of assessing for presence of ferro-metallic</w:t>
      </w:r>
    </w:p>
    <w:p>
      <w:pPr>
        <w:numPr>
          <w:ilvl w:val="0"/>
          <w:numId w:val="2"/>
        </w:numPr>
      </w:pPr>
      <w:r>
        <w:t>objects/prostheses and implanted medical devices and the</w:t>
      </w:r>
    </w:p>
    <w:p>
      <w:pPr>
        <w:numPr>
          <w:ilvl w:val="0"/>
          <w:numId w:val="2"/>
        </w:numPr>
      </w:pPr>
      <w:r>
        <w:t>appropriate action to take if these are identified</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how to adapt communication styles, ask questions, and listen</w:t>
      </w:r>
    </w:p>
    <w:p>
      <w:pPr>
        <w:numPr>
          <w:ilvl w:val="0"/>
          <w:numId w:val="2"/>
        </w:numPr>
      </w:pPr>
      <w:r>
        <w:t>SFHCI.K</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how to measure and interpret blood sugar levels using a</w:t>
      </w:r>
    </w:p>
    <w:p>
      <w:pPr>
        <w:numPr>
          <w:ilvl w:val="0"/>
          <w:numId w:val="2"/>
        </w:numPr>
      </w:pPr>
      <w:r>
        <w:t>glucometer</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requirements for administration of pharmaceuticals to reduce</w:t>
      </w:r>
    </w:p>
    <w:p>
      <w:pPr>
        <w:numPr>
          <w:ilvl w:val="0"/>
          <w:numId w:val="2"/>
        </w:numPr>
      </w:pPr>
      <w:r>
        <w:t>brown fat uptake in individuals less than 18 years old</w:t>
      </w:r>
    </w:p>
    <w:p>
      <w:pPr>
        <w:numPr>
          <w:ilvl w:val="0"/>
          <w:numId w:val="2"/>
        </w:numPr>
      </w:pPr>
      <w:r>
        <w:t>the physiological uptake pathways and half-life for different PET</w:t>
      </w:r>
    </w:p>
    <w:p>
      <w:pPr>
        <w:numPr>
          <w:ilvl w:val="0"/>
          <w:numId w:val="2"/>
        </w:numPr>
      </w:pPr>
      <w:r>
        <w:t>tracers and the impact upon optimal image quality</w:t>
      </w:r>
    </w:p>
    <w:p>
      <w:pPr>
        <w:numPr>
          <w:ilvl w:val="0"/>
          <w:numId w:val="2"/>
        </w:numPr>
      </w:pPr>
      <w:r>
        <w:t>the physical, biological and effective half-life of different PET</w:t>
      </w:r>
    </w:p>
    <w:p>
      <w:pPr>
        <w:numPr>
          <w:ilvl w:val="0"/>
          <w:numId w:val="2"/>
        </w:numPr>
      </w:pPr>
      <w:r>
        <w:t>tracers and consequently the radiation protection aftercare advice</w:t>
      </w:r>
    </w:p>
    <w:p>
      <w:pPr>
        <w:numPr>
          <w:ilvl w:val="0"/>
          <w:numId w:val="2"/>
        </w:numPr>
      </w:pPr>
      <w:r>
        <w:t>for individuals and key people</w:t>
      </w:r>
    </w:p>
    <w:p>
      <w:pPr>
        <w:numPr>
          <w:ilvl w:val="0"/>
          <w:numId w:val="2"/>
        </w:numPr>
      </w:pPr>
      <w:r>
        <w:t>the calculation of administered radioactivity to an individual</w:t>
      </w:r>
    </w:p>
    <w:p>
      <w:pPr>
        <w:numPr>
          <w:ilvl w:val="0"/>
          <w:numId w:val="2"/>
        </w:numPr>
      </w:pPr>
      <w:r>
        <w:t>the calculation of residual radioactivity post injection of a PET</w:t>
      </w:r>
    </w:p>
    <w:p>
      <w:pPr>
        <w:numPr>
          <w:ilvl w:val="0"/>
          <w:numId w:val="2"/>
        </w:numPr>
      </w:pPr>
      <w:r>
        <w:t>tracer</w:t>
      </w:r>
    </w:p>
    <w:p>
      <w:pPr>
        <w:numPr>
          <w:ilvl w:val="0"/>
          <w:numId w:val="2"/>
        </w:numPr>
      </w:pPr>
      <w:r>
        <w:t>controlled access areas and safety requirements in the MRI</w:t>
      </w:r>
    </w:p>
    <w:p>
      <w:pPr>
        <w:numPr>
          <w:ilvl w:val="0"/>
          <w:numId w:val="2"/>
        </w:numPr>
      </w:pPr>
      <w:r>
        <w:t>environment in line with current MRI safety guidelines</w:t>
      </w:r>
    </w:p>
    <w:p>
      <w:pPr>
        <w:numPr>
          <w:ilvl w:val="0"/>
          <w:numId w:val="2"/>
        </w:numPr>
      </w:pPr>
      <w:r>
        <w:t>the physical principles of Magnetic Resonance scanning,</w:t>
      </w:r>
    </w:p>
    <w:p>
      <w:pPr>
        <w:numPr>
          <w:ilvl w:val="0"/>
          <w:numId w:val="2"/>
        </w:numPr>
      </w:pPr>
      <w:r>
        <w:t>techniques and protocols</w:t>
      </w:r>
    </w:p>
    <w:p>
      <w:pPr>
        <w:numPr>
          <w:ilvl w:val="0"/>
          <w:numId w:val="2"/>
        </w:numPr>
      </w:pPr>
      <w:r>
        <w:t>production, interactions and properties of gamma rays.</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images</w:t>
      </w:r>
    </w:p>
    <w:p>
      <w:pPr>
        <w:numPr>
          <w:ilvl w:val="0"/>
          <w:numId w:val="2"/>
        </w:numPr>
      </w:pPr>
      <w:r>
        <w:t>alternative imaging examinations</w:t>
      </w:r>
    </w:p>
    <w:p>
      <w:pPr>
        <w:numPr>
          <w:ilvl w:val="0"/>
          <w:numId w:val="2"/>
        </w:numPr>
      </w:pPr>
      <w:r>
        <w:t>the safe operation of the Magnetic Resonance scanner and</w:t>
      </w:r>
    </w:p>
    <w:p>
      <w:pPr>
        <w:numPr>
          <w:ilvl w:val="0"/>
          <w:numId w:val="2"/>
        </w:numPr>
      </w:pPr>
      <w:r>
        <w:t>SFHCI.K</w:t>
      </w:r>
    </w:p>
    <w:p>
      <w:pPr>
        <w:numPr>
          <w:ilvl w:val="0"/>
          <w:numId w:val="2"/>
        </w:numPr>
      </w:pPr>
      <w:r>
        <w:t>SFHCI.K</w:t>
      </w:r>
    </w:p>
    <w:p>
      <w:pPr>
        <w:numPr>
          <w:ilvl w:val="0"/>
          <w:numId w:val="2"/>
        </w:numPr>
      </w:pPr>
      <w:r>
        <w:t>accessories in use</w:t>
      </w:r>
    </w:p>
    <w:p>
      <w:pPr>
        <w:numPr>
          <w:ilvl w:val="0"/>
          <w:numId w:val="2"/>
        </w:numPr>
      </w:pPr>
      <w:r>
        <w:t>the safe use of quality assurance equipment, recording results</w:t>
      </w:r>
    </w:p>
    <w:p>
      <w:pPr>
        <w:numPr>
          <w:ilvl w:val="0"/>
          <w:numId w:val="2"/>
        </w:numPr>
      </w:pPr>
      <w:r>
        <w:t>and taking appropriate action</w:t>
      </w:r>
    </w:p>
    <w:p>
      <w:pPr>
        <w:numPr>
          <w:ilvl w:val="0"/>
          <w:numId w:val="2"/>
        </w:numPr>
      </w:pPr>
      <w:r>
        <w:t>how to deal with spillages and the action to take if spillages occur</w:t>
      </w:r>
    </w:p>
    <w:p>
      <w:pPr>
        <w:numPr>
          <w:ilvl w:val="0"/>
          <w:numId w:val="2"/>
        </w:numPr>
      </w:pPr>
      <w:r>
        <w:t>in line with national MRI safety guidance</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procedures for preparation of the individual, environment and</w:t>
      </w:r>
    </w:p>
    <w:p>
      <w:pPr>
        <w:numPr>
          <w:ilvl w:val="0"/>
          <w:numId w:val="2"/>
        </w:numPr>
      </w:pPr>
      <w:r>
        <w:t>equipment for Magnetic Resonance scanning</w:t>
      </w:r>
    </w:p>
    <w:p>
      <w:pPr>
        <w:numPr>
          <w:ilvl w:val="0"/>
          <w:numId w:val="2"/>
        </w:numPr>
      </w:pPr>
      <w:r>
        <w:t>procedures relating to recording, collating and preparing</w:t>
      </w:r>
    </w:p>
    <w:p>
      <w:pPr>
        <w:numPr>
          <w:ilvl w:val="0"/>
          <w:numId w:val="2"/>
        </w:numPr>
      </w:pPr>
      <w:r>
        <w:t>appropriate documentation and images for transfer or storage</w:t>
      </w:r>
    </w:p>
    <w:p>
      <w:pPr>
        <w:numPr>
          <w:ilvl w:val="0"/>
          <w:numId w:val="2"/>
        </w:numPr>
      </w:pPr>
      <w:r>
        <w:t>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SFHCI.K</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SFHCI.K</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sfhci.k</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Mri; Diagnostic; Clinical; Images; Pet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302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E79D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b5a2f866af4e6b" /><Relationship Type="http://schemas.openxmlformats.org/officeDocument/2006/relationships/numbering" Target="/word/numbering.xml" Id="R029d4cf5a5324ae9" /><Relationship Type="http://schemas.openxmlformats.org/officeDocument/2006/relationships/settings" Target="/word/settings.xml" Id="R0e51f975542d47af" /><Relationship Type="http://schemas.openxmlformats.org/officeDocument/2006/relationships/image" Target="/word/media/9ef6770e-10ff-468a-8718-ff0c1c87fc4d.png" Id="R9b712c4a3d974575" /></Relationships>
</file>