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c93c90ef6b42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GQAFEN19</w:t>
            </w:r>
            <w:r>
              <w:rPr>
                <w:b/>
              </w:rPr>
              <w:br/>
            </w:r>
            <w:r>
              <w:rPr>
                <w:b/>
              </w:rPr>
              <w:t>Comply with Building Regulations/Standards for installation in the fenestration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a11317075c41d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installers in the fenestration environment. You should ensure that installations do not endanger life and comply with the statutory requirements, keep your knowledge current and communicate with others when required.</w:t>
      </w:r>
    </w:p>
    <w:p>
      <w:pPr/>
      <w:r>
        <w:rPr>
          <w:lang w:val="en-GB"/>
        </w:rPr>
        <w:t>This standard is for you if you work in the Fenestration Industry and are involved in on 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PROFEN19</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e83e3487d84d57" /><Relationship Type="http://schemas.openxmlformats.org/officeDocument/2006/relationships/numbering" Target="/word/numbering.xml" Id="R910d112975014ce0" /><Relationship Type="http://schemas.openxmlformats.org/officeDocument/2006/relationships/settings" Target="/word/settings.xml" Id="R66d32c0bbe0c4f30" /><Relationship Type="http://schemas.openxmlformats.org/officeDocument/2006/relationships/image" Target="/word/media/d7d4062f-d1da-4980-9866-6529c71b55ce.png" Id="R78a11317075c41d4" /></Relationships>
</file>