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a87b947a2340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LANCS103</w:t>
            </w:r>
            <w:r>
              <w:rPr>
                <w:b/>
              </w:rPr>
              <w:br/>
            </w:r>
            <w:r>
              <w:rPr>
                <w:b/>
              </w:rPr>
              <w:t>Manage plant health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4f06c1969d45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suitable for those who have responsibility for managing plant health incidents and emergencies as part of responsible organisations.  </w:t>
      </w:r>
    </w:p>
    <w:p>
      <w:pPr/>
      <w:r>
        <w:rPr>
          <w:lang w:val="en-GB"/>
        </w:rPr>
        <w:br/>
      </w:r>
    </w:p>
    <w:p>
      <w:pPr/>
      <w:r>
        <w:rPr>
          <w:lang w:val="en-GB"/>
        </w:rPr>
        <w:br/>
      </w:r>
    </w:p>
    <w:p>
      <w:pPr/>
      <w:r>
        <w:rPr>
          <w:lang w:val="en-GB"/>
        </w:rPr>
        <w:t xml:space="preserve">It is applicable to all sectors relevant to plant health incidents and emergencies and applies to both plants, trees and plant products. It relates to the activities that you undertake before, during and after a plant health incident or emergency. </w:t>
      </w:r>
    </w:p>
    <w:p>
      <w:pPr/>
      <w:r>
        <w:rPr>
          <w:lang w:val="en-GB"/>
        </w:rPr>
        <w:br/>
      </w:r>
    </w:p>
    <w:p>
      <w:pPr/>
      <w:r>
        <w:rPr>
          <w:lang w:val="en-GB"/>
        </w:rPr>
        <w:br/>
      </w:r>
    </w:p>
    <w:p>
      <w:pPr/>
      <w:r>
        <w:rPr>
          <w:lang w:val="en-GB"/>
        </w:rPr>
        <w:t xml:space="preserve">To meet this standard, you will be able to: </w:t>
      </w:r>
    </w:p>
    <w:p>
      <w:pPr/>
      <w:r>
        <w:rPr>
          <w:lang w:val="en-GB"/>
        </w:rPr>
        <w:br/>
      </w:r>
    </w:p>
    <w:p>
      <w:pPr/>
      <w:r>
        <w:rPr>
          <w:lang w:val="en-GB"/>
        </w:rPr>
        <w:t>•</w:t>
      </w:r>
    </w:p>
    <w:p>
      <w:pPr/>
      <w:r>
        <w:rPr>
          <w:lang w:val="en-GB"/>
        </w:rPr>
        <w:t xml:space="preserve">‍ </w:t>
      </w:r>
    </w:p>
    <w:p>
      <w:pPr/>
      <w:r>
        <w:rPr>
          <w:lang w:val="en-GB"/>
        </w:rPr>
        <w:t>prepare for pest and disease incidents (interceptions/outbreaks)</w:t>
      </w:r>
    </w:p>
    <w:p>
      <w:pPr/>
      <w:r>
        <w:rPr>
          <w:lang w:val="en-GB"/>
        </w:rPr>
        <w:t>•</w:t>
      </w:r>
    </w:p>
    <w:p>
      <w:pPr/>
      <w:r>
        <w:rPr>
          <w:lang w:val="en-GB"/>
        </w:rPr>
        <w:t xml:space="preserve">‍ </w:t>
      </w:r>
    </w:p>
    <w:p>
      <w:pPr/>
      <w:r>
        <w:rPr>
          <w:lang w:val="en-GB"/>
        </w:rPr>
        <w:t>undertake investigation actions and implement processes</w:t>
      </w:r>
    </w:p>
    <w:p>
      <w:pPr/>
      <w:r>
        <w:rPr>
          <w:lang w:val="en-GB"/>
        </w:rPr>
        <w:t>•</w:t>
      </w:r>
    </w:p>
    <w:p>
      <w:pPr/>
      <w:r>
        <w:rPr>
          <w:lang w:val="en-GB"/>
        </w:rPr>
        <w:t xml:space="preserve">‍ </w:t>
      </w:r>
    </w:p>
    <w:p>
      <w:pPr/>
      <w:r>
        <w:rPr>
          <w:lang w:val="en-GB"/>
        </w:rPr>
        <w:t>undertake response actions and implement processes</w:t>
      </w:r>
    </w:p>
    <w:p>
      <w:pPr/>
      <w:r>
        <w:rPr>
          <w:lang w:val="en-GB"/>
        </w:rPr>
        <w:t>•</w:t>
      </w:r>
    </w:p>
    <w:p>
      <w:pPr/>
      <w:r>
        <w:rPr>
          <w:lang w:val="en-GB"/>
        </w:rPr>
        <w:t xml:space="preserve">‍ </w:t>
      </w:r>
    </w:p>
    <w:p>
      <w:pPr/>
      <w:r>
        <w:rPr>
          <w:lang w:val="en-GB"/>
        </w:rPr>
        <w:t>undertake recovery actions and implement processes</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Assess significance of interception and/or outbreak:</w:t>
      </w:r>
    </w:p>
    <w:p>
      <w:pPr/>
      <w:r>
        <w:rPr>
          <w:lang w:val="en-GB"/>
        </w:rPr>
        <w:t>•</w:t>
      </w:r>
    </w:p>
    <w:p>
      <w:pPr/>
      <w:r>
        <w:rPr>
          <w:lang w:val="en-GB"/>
        </w:rPr>
        <w:t xml:space="preserve">‍ </w:t>
      </w:r>
    </w:p>
    <w:p>
      <w:pPr/>
      <w:r>
        <w:rPr>
          <w:lang w:val="en-GB"/>
        </w:rPr>
        <w:t>Significance of pest and/or disease</w:t>
      </w:r>
    </w:p>
    <w:p>
      <w:pPr/>
      <w:r>
        <w:rPr>
          <w:lang w:val="en-GB"/>
        </w:rPr>
        <w:t>•</w:t>
      </w:r>
    </w:p>
    <w:p>
      <w:pPr/>
      <w:r>
        <w:rPr>
          <w:lang w:val="en-GB"/>
        </w:rPr>
        <w:t xml:space="preserve">‍ </w:t>
      </w:r>
    </w:p>
    <w:p>
      <w:pPr/>
      <w:r>
        <w:rPr>
          <w:lang w:val="en-GB"/>
        </w:rPr>
        <w:t>Location</w:t>
      </w:r>
    </w:p>
    <w:p>
      <w:pPr/>
      <w:r>
        <w:rPr>
          <w:lang w:val="en-GB"/>
        </w:rPr>
        <w:t>•</w:t>
      </w:r>
    </w:p>
    <w:p>
      <w:pPr/>
      <w:r>
        <w:rPr>
          <w:lang w:val="en-GB"/>
        </w:rPr>
        <w:t xml:space="preserve">‍ </w:t>
      </w:r>
    </w:p>
    <w:p>
      <w:pPr/>
      <w:r>
        <w:rPr>
          <w:lang w:val="en-GB"/>
        </w:rPr>
        <w:t>Extent</w:t>
      </w:r>
    </w:p>
    <w:p>
      <w:pPr/>
      <w:r>
        <w:rPr>
          <w:lang w:val="en-GB"/>
        </w:rPr>
        <w:t>•</w:t>
      </w:r>
    </w:p>
    <w:p>
      <w:pPr/>
      <w:r>
        <w:rPr>
          <w:lang w:val="en-GB"/>
        </w:rPr>
        <w:t xml:space="preserve">‍ </w:t>
      </w:r>
    </w:p>
    <w:p>
      <w:pPr/>
      <w:r>
        <w:rPr>
          <w:lang w:val="en-GB"/>
        </w:rPr>
        <w:t>Economic</w:t>
      </w:r>
    </w:p>
    <w:p>
      <w:pPr/>
      <w:r>
        <w:rPr>
          <w:lang w:val="en-GB"/>
        </w:rPr>
        <w:t>•</w:t>
      </w:r>
    </w:p>
    <w:p>
      <w:pPr/>
      <w:r>
        <w:rPr>
          <w:lang w:val="en-GB"/>
        </w:rPr>
        <w:t xml:space="preserve">‍ </w:t>
      </w:r>
    </w:p>
    <w:p>
      <w:pPr/>
      <w:r>
        <w:rPr>
          <w:lang w:val="en-GB"/>
        </w:rPr>
        <w:t>Public health</w:t>
      </w:r>
    </w:p>
    <w:p>
      <w:pPr/>
      <w:r>
        <w:rPr>
          <w:lang w:val="en-GB"/>
        </w:rPr>
        <w:t>•</w:t>
      </w:r>
    </w:p>
    <w:p>
      <w:pPr/>
      <w:r>
        <w:rPr>
          <w:lang w:val="en-GB"/>
        </w:rPr>
        <w:t xml:space="preserve">‍ </w:t>
      </w:r>
    </w:p>
    <w:p>
      <w:pPr/>
      <w:r>
        <w:rPr>
          <w:lang w:val="en-GB"/>
        </w:rPr>
        <w:t>Environment</w:t>
      </w:r>
    </w:p>
    <w:p>
      <w:pPr/>
      <w:r>
        <w:rPr>
          <w:lang w:val="en-GB"/>
        </w:rPr>
        <w:t>•</w:t>
      </w:r>
    </w:p>
    <w:p>
      <w:pPr/>
      <w:r>
        <w:rPr>
          <w:lang w:val="en-GB"/>
        </w:rPr>
        <w:t xml:space="preserve">‍ </w:t>
      </w:r>
    </w:p>
    <w:p>
      <w:pPr/>
      <w:r>
        <w:rPr>
          <w:lang w:val="en-GB"/>
        </w:rPr>
        <w:t>Social/Amenity</w:t>
      </w:r>
    </w:p>
    <w:p>
      <w:pPr/>
      <w:r>
        <w:rPr>
          <w:lang w:val="en-GB"/>
        </w:rPr>
        <w:br/>
      </w:r>
    </w:p>
    <w:p>
      <w:pPr/>
      <w:r>
        <w:rPr>
          <w:lang w:val="en-GB"/>
        </w:rPr>
        <w:t xml:space="preserve">Biosecurity: Measures aimed at preventing the introduction and/or spread of harmful organisms and non-native species </w:t>
      </w:r>
    </w:p>
    <w:p>
      <w:pPr/>
      <w:r>
        <w:rPr>
          <w:lang w:val="en-GB"/>
        </w:rPr>
        <w:br/>
      </w:r>
    </w:p>
    <w:p>
      <w:pPr/>
      <w:r>
        <w:rPr>
          <w:lang w:val="en-GB"/>
        </w:rPr>
        <w:br/>
      </w:r>
    </w:p>
    <w:p>
      <w:pPr/>
      <w:r>
        <w:rPr>
          <w:lang w:val="en-GB"/>
        </w:rPr>
        <w:t>Emergency: an urgent, unexpected, and usually dangerous event or situation that poses an immediate risk to health, life, property, or the environment and requires immediate action. An event or situation that threatens serious damage to human welfare in a place in the UK, the environment of a place in the UK, or the security of the UK or of a place in the UK.</w:t>
      </w:r>
    </w:p>
    <w:p>
      <w:pPr/>
      <w:r>
        <w:rPr>
          <w:lang w:val="en-GB"/>
        </w:rPr>
        <w:br/>
      </w:r>
    </w:p>
    <w:p>
      <w:pPr/>
      <w:r>
        <w:rPr>
          <w:lang w:val="en-GB"/>
        </w:rPr>
        <w:t>Incident: an unintended event or situation that disturbs normal operations and requires a response from the emergency services or other responders. An incident can be defined as minor, moderate or major with a range of impacts on the organisation, sector, environment and people.</w:t>
      </w:r>
    </w:p>
    <w:p>
      <w:pPr/>
      <w:r>
        <w:rPr>
          <w:lang w:val="en-GB"/>
        </w:rPr>
        <w:br/>
      </w:r>
    </w:p>
    <w:p>
      <w:pPr/>
      <w:r>
        <w:rPr>
          <w:lang w:val="en-GB"/>
        </w:rPr>
        <w:t>Incident Management Team: The management team used to respond and recover from plant health incidents</w:t>
      </w:r>
    </w:p>
    <w:p>
      <w:pPr/>
      <w:r>
        <w:rPr>
          <w:lang w:val="en-GB"/>
        </w:rPr>
        <w:br/>
      </w:r>
    </w:p>
    <w:p>
      <w:pPr/>
      <w:r>
        <w:rPr>
          <w:lang w:val="en-GB"/>
        </w:rPr>
        <w:t>Potential actions to respond to a plant health incident:</w:t>
      </w:r>
    </w:p>
    <w:p>
      <w:pPr/>
      <w:r>
        <w:rPr>
          <w:lang w:val="en-GB"/>
        </w:rPr>
        <w:t>•</w:t>
      </w:r>
    </w:p>
    <w:p>
      <w:pPr/>
      <w:r>
        <w:rPr>
          <w:lang w:val="en-GB"/>
        </w:rPr>
        <w:t xml:space="preserve">‍ </w:t>
      </w:r>
    </w:p>
    <w:p>
      <w:pPr/>
      <w:r>
        <w:rPr>
          <w:lang w:val="en-GB"/>
        </w:rPr>
        <w:t>Establishing what subject matter experts are required </w:t>
      </w:r>
    </w:p>
    <w:p>
      <w:pPr/>
      <w:r>
        <w:rPr>
          <w:lang w:val="en-GB"/>
        </w:rPr>
        <w:t>•</w:t>
      </w:r>
    </w:p>
    <w:p>
      <w:pPr/>
      <w:r>
        <w:rPr>
          <w:lang w:val="en-GB"/>
        </w:rPr>
        <w:t xml:space="preserve">‍ </w:t>
      </w:r>
    </w:p>
    <w:p>
      <w:pPr/>
      <w:r>
        <w:rPr>
          <w:lang w:val="en-GB"/>
        </w:rPr>
        <w:t>Commissioning diagnostics and research to inform management decisions</w:t>
      </w:r>
    </w:p>
    <w:p>
      <w:pPr/>
      <w:r>
        <w:rPr>
          <w:lang w:val="en-GB"/>
        </w:rPr>
        <w:t>•</w:t>
      </w:r>
    </w:p>
    <w:p>
      <w:pPr/>
      <w:r>
        <w:rPr>
          <w:lang w:val="en-GB"/>
        </w:rPr>
        <w:t xml:space="preserve">‍ </w:t>
      </w:r>
    </w:p>
    <w:p>
      <w:pPr/>
      <w:r>
        <w:rPr>
          <w:lang w:val="en-GB"/>
        </w:rPr>
        <w:t>Issue of statutory plant health notices on landowners</w:t>
      </w:r>
    </w:p>
    <w:p>
      <w:pPr/>
      <w:r>
        <w:rPr>
          <w:lang w:val="en-GB"/>
        </w:rPr>
        <w:t>•</w:t>
      </w:r>
    </w:p>
    <w:p>
      <w:pPr/>
      <w:r>
        <w:rPr>
          <w:lang w:val="en-GB"/>
        </w:rPr>
        <w:t xml:space="preserve">‍ </w:t>
      </w:r>
    </w:p>
    <w:p>
      <w:pPr/>
      <w:r>
        <w:rPr>
          <w:lang w:val="en-GB"/>
        </w:rPr>
        <w:t>Creation of Demarcated Areas to implement containment</w:t>
      </w:r>
    </w:p>
    <w:p>
      <w:pPr/>
      <w:r>
        <w:rPr>
          <w:lang w:val="en-GB"/>
        </w:rPr>
        <w:t>•</w:t>
      </w:r>
    </w:p>
    <w:p>
      <w:pPr/>
      <w:r>
        <w:rPr>
          <w:lang w:val="en-GB"/>
        </w:rPr>
        <w:t xml:space="preserve">‍ </w:t>
      </w:r>
    </w:p>
    <w:p>
      <w:pPr/>
      <w:r>
        <w:rPr>
          <w:lang w:val="en-GB"/>
        </w:rPr>
        <w:t>Direct action to implement pest and disease management procedures</w:t>
      </w:r>
    </w:p>
    <w:p>
      <w:pPr/>
      <w:r>
        <w:rPr>
          <w:lang w:val="en-GB"/>
        </w:rPr>
        <w:t>•</w:t>
      </w:r>
    </w:p>
    <w:p>
      <w:pPr/>
      <w:r>
        <w:rPr>
          <w:lang w:val="en-GB"/>
        </w:rPr>
        <w:t xml:space="preserve">‍ </w:t>
      </w:r>
    </w:p>
    <w:p>
      <w:pPr/>
      <w:r>
        <w:rPr>
          <w:lang w:val="en-GB"/>
        </w:rPr>
        <w:t>Destruction or treatment of affected plant material</w:t>
      </w:r>
    </w:p>
    <w:p>
      <w:pPr/>
      <w:r>
        <w:rPr>
          <w:lang w:val="en-GB"/>
        </w:rPr>
        <w:t>•</w:t>
      </w:r>
    </w:p>
    <w:p>
      <w:pPr/>
      <w:r>
        <w:rPr>
          <w:lang w:val="en-GB"/>
        </w:rPr>
        <w:t xml:space="preserve">‍ </w:t>
      </w:r>
    </w:p>
    <w:p>
      <w:pPr/>
      <w:r>
        <w:rPr>
          <w:lang w:val="en-GB"/>
        </w:rPr>
        <w:t>Restricting movement (eg of personnel/traffic) in and out of appropriate affected area/areas</w:t>
      </w:r>
    </w:p>
    <w:p>
      <w:pPr/>
      <w:r>
        <w:rPr>
          <w:lang w:val="en-GB"/>
        </w:rPr>
        <w:t>•</w:t>
      </w:r>
    </w:p>
    <w:p>
      <w:pPr/>
      <w:r>
        <w:rPr>
          <w:lang w:val="en-GB"/>
        </w:rPr>
        <w:t xml:space="preserve">‍ </w:t>
      </w:r>
    </w:p>
    <w:p>
      <w:pPr/>
      <w:r>
        <w:rPr>
          <w:lang w:val="en-GB"/>
        </w:rPr>
        <w:t>Thorough cleaning of equipment and machinery</w:t>
      </w:r>
    </w:p>
    <w:p>
      <w:pPr/>
      <w:r>
        <w:rPr>
          <w:lang w:val="en-GB"/>
        </w:rPr>
        <w:t>•</w:t>
      </w:r>
    </w:p>
    <w:p>
      <w:pPr/>
      <w:r>
        <w:rPr>
          <w:lang w:val="en-GB"/>
        </w:rPr>
        <w:t xml:space="preserve">‍ </w:t>
      </w:r>
    </w:p>
    <w:p>
      <w:pPr/>
      <w:r>
        <w:rPr>
          <w:lang w:val="en-GB"/>
        </w:rPr>
        <w:t>Tracking and tracing potentially affected plants forwards and backwards</w:t>
      </w:r>
    </w:p>
    <w:p>
      <w:pPr/>
      <w:r>
        <w:rPr>
          <w:lang w:val="en-GB"/>
        </w:rPr>
        <w:t>•</w:t>
      </w:r>
    </w:p>
    <w:p>
      <w:pPr/>
      <w:r>
        <w:rPr>
          <w:lang w:val="en-GB"/>
        </w:rPr>
        <w:t xml:space="preserve">‍ </w:t>
      </w:r>
    </w:p>
    <w:p>
      <w:pPr/>
      <w:r>
        <w:rPr>
          <w:lang w:val="en-GB"/>
        </w:rPr>
        <w:t>Maintaining communication with stakeholders</w:t>
      </w:r>
    </w:p>
    <w:p>
      <w:pPr/>
      <w:r>
        <w:rPr>
          <w:lang w:val="en-GB"/>
        </w:rPr>
        <w:t>•</w:t>
      </w:r>
    </w:p>
    <w:p>
      <w:pPr/>
      <w:r>
        <w:rPr>
          <w:lang w:val="en-GB"/>
        </w:rPr>
        <w:t xml:space="preserve">‍ </w:t>
      </w:r>
    </w:p>
    <w:p>
      <w:pPr/>
      <w:r>
        <w:rPr>
          <w:lang w:val="en-GB"/>
        </w:rPr>
        <w:t>Monitoring and collating the results</w:t>
      </w:r>
    </w:p>
    <w:p>
      <w:pPr/>
      <w:r>
        <w:rPr>
          <w:lang w:val="en-GB"/>
        </w:rPr>
        <w:br/>
      </w:r>
    </w:p>
    <w:p>
      <w:pPr/>
      <w:r>
        <w:rPr>
          <w:lang w:val="en-GB"/>
        </w:rPr>
        <w:t>Prepare for plant health incidents including:</w:t>
      </w:r>
    </w:p>
    <w:p>
      <w:pPr/>
      <w:r>
        <w:rPr>
          <w:lang w:val="en-GB"/>
        </w:rPr>
        <w:t>•</w:t>
      </w:r>
    </w:p>
    <w:p>
      <w:pPr/>
      <w:r>
        <w:rPr>
          <w:lang w:val="en-GB"/>
        </w:rPr>
        <w:t xml:space="preserve">‍ </w:t>
      </w:r>
    </w:p>
    <w:p>
      <w:pPr/>
      <w:r>
        <w:rPr>
          <w:lang w:val="en-GB"/>
        </w:rPr>
        <w:t>Addressing research gaps</w:t>
      </w:r>
    </w:p>
    <w:p>
      <w:pPr/>
      <w:r>
        <w:rPr>
          <w:lang w:val="en-GB"/>
        </w:rPr>
        <w:t>•</w:t>
      </w:r>
    </w:p>
    <w:p>
      <w:pPr/>
      <w:r>
        <w:rPr>
          <w:lang w:val="en-GB"/>
        </w:rPr>
        <w:t xml:space="preserve">‍ </w:t>
      </w:r>
    </w:p>
    <w:p>
      <w:pPr/>
      <w:r>
        <w:rPr>
          <w:lang w:val="en-GB"/>
        </w:rPr>
        <w:t>Considering increasing laboratory and diagnostic capacity</w:t>
      </w:r>
    </w:p>
    <w:p>
      <w:pPr/>
      <w:r>
        <w:rPr>
          <w:lang w:val="en-GB"/>
        </w:rPr>
        <w:t>•</w:t>
      </w:r>
    </w:p>
    <w:p>
      <w:pPr/>
      <w:r>
        <w:rPr>
          <w:lang w:val="en-GB"/>
        </w:rPr>
        <w:t xml:space="preserve">‍ </w:t>
      </w:r>
    </w:p>
    <w:p>
      <w:pPr/>
      <w:r>
        <w:rPr>
          <w:lang w:val="en-GB"/>
        </w:rPr>
        <w:t>Creating and maintaining incident documentation and guidance</w:t>
      </w:r>
    </w:p>
    <w:p>
      <w:pPr/>
      <w:r>
        <w:rPr>
          <w:lang w:val="en-GB"/>
        </w:rPr>
        <w:t>•</w:t>
      </w:r>
    </w:p>
    <w:p>
      <w:pPr/>
      <w:r>
        <w:rPr>
          <w:lang w:val="en-GB"/>
        </w:rPr>
        <w:t xml:space="preserve">‍ </w:t>
      </w:r>
    </w:p>
    <w:p>
      <w:pPr/>
      <w:r>
        <w:rPr>
          <w:lang w:val="en-GB"/>
        </w:rPr>
        <w:t>Preparing pest-specific contingency plans</w:t>
      </w:r>
    </w:p>
    <w:p>
      <w:pPr/>
      <w:r>
        <w:rPr>
          <w:lang w:val="en-GB"/>
        </w:rPr>
        <w:t>•</w:t>
      </w:r>
    </w:p>
    <w:p>
      <w:pPr/>
      <w:r>
        <w:rPr>
          <w:lang w:val="en-GB"/>
        </w:rPr>
        <w:t xml:space="preserve">‍ </w:t>
      </w:r>
    </w:p>
    <w:p>
      <w:pPr/>
      <w:r>
        <w:rPr>
          <w:lang w:val="en-GB"/>
        </w:rPr>
        <w:t>Creating and implementing standard operating procedures</w:t>
      </w:r>
    </w:p>
    <w:p>
      <w:pPr/>
      <w:r>
        <w:rPr>
          <w:lang w:val="en-GB"/>
        </w:rPr>
        <w:t>•</w:t>
      </w:r>
    </w:p>
    <w:p>
      <w:pPr/>
      <w:r>
        <w:rPr>
          <w:lang w:val="en-GB"/>
        </w:rPr>
        <w:t xml:space="preserve">‍ </w:t>
      </w:r>
    </w:p>
    <w:p>
      <w:pPr/>
      <w:r>
        <w:rPr>
          <w:lang w:val="en-GB"/>
        </w:rPr>
        <w:t>Establishing diagnostics protocols</w:t>
      </w:r>
    </w:p>
    <w:p>
      <w:pPr/>
      <w:r>
        <w:rPr>
          <w:lang w:val="en-GB"/>
        </w:rPr>
        <w:t>•</w:t>
      </w:r>
    </w:p>
    <w:p>
      <w:pPr/>
      <w:r>
        <w:rPr>
          <w:lang w:val="en-GB"/>
        </w:rPr>
        <w:t xml:space="preserve">‍ </w:t>
      </w:r>
    </w:p>
    <w:p>
      <w:pPr/>
      <w:r>
        <w:rPr>
          <w:lang w:val="en-GB"/>
        </w:rPr>
        <w:t>Implementing training and exercises</w:t>
      </w:r>
    </w:p>
    <w:p>
      <w:pPr/>
      <w:r>
        <w:rPr>
          <w:lang w:val="en-GB"/>
        </w:rPr>
        <w:t>•</w:t>
      </w:r>
    </w:p>
    <w:p>
      <w:pPr/>
      <w:r>
        <w:rPr>
          <w:lang w:val="en-GB"/>
        </w:rPr>
        <w:t xml:space="preserve">‍ </w:t>
      </w:r>
    </w:p>
    <w:p>
      <w:pPr/>
      <w:r>
        <w:rPr>
          <w:lang w:val="en-GB"/>
        </w:rPr>
        <w:t>Making staffing resources available and appropriate contract and contractor availability</w:t>
      </w:r>
    </w:p>
    <w:p>
      <w:pPr/>
      <w:r>
        <w:rPr>
          <w:lang w:val="en-GB"/>
        </w:rPr>
        <w:br/>
      </w:r>
    </w:p>
    <w:p>
      <w:pPr/>
      <w:r>
        <w:rPr>
          <w:lang w:val="en-GB"/>
        </w:rPr>
        <w:t>Recovery phase:</w:t>
      </w:r>
    </w:p>
    <w:p>
      <w:pPr/>
      <w:r>
        <w:rPr>
          <w:lang w:val="en-GB"/>
        </w:rPr>
        <w:t>•</w:t>
      </w:r>
    </w:p>
    <w:p>
      <w:pPr/>
      <w:r>
        <w:rPr>
          <w:lang w:val="en-GB"/>
        </w:rPr>
        <w:t xml:space="preserve">‍ </w:t>
      </w:r>
    </w:p>
    <w:p>
      <w:pPr/>
      <w:r>
        <w:rPr>
          <w:lang w:val="en-GB"/>
        </w:rPr>
        <w:t>De-escalation, gradual removal of restrictions</w:t>
      </w:r>
    </w:p>
    <w:p>
      <w:pPr/>
      <w:r>
        <w:rPr>
          <w:lang w:val="en-GB"/>
        </w:rPr>
        <w:t>•</w:t>
      </w:r>
    </w:p>
    <w:p>
      <w:pPr/>
      <w:r>
        <w:rPr>
          <w:lang w:val="en-GB"/>
        </w:rPr>
        <w:t xml:space="preserve">‍ </w:t>
      </w:r>
    </w:p>
    <w:p>
      <w:pPr/>
      <w:r>
        <w:rPr>
          <w:lang w:val="en-GB"/>
        </w:rPr>
        <w:t>Transition to the new normal</w:t>
      </w:r>
    </w:p>
    <w:p>
      <w:pPr/>
      <w:r>
        <w:rPr>
          <w:lang w:val="en-GB"/>
        </w:rPr>
        <w:t>•</w:t>
      </w:r>
    </w:p>
    <w:p>
      <w:pPr/>
      <w:r>
        <w:rPr>
          <w:lang w:val="en-GB"/>
        </w:rPr>
        <w:t xml:space="preserve">‍ </w:t>
      </w:r>
    </w:p>
    <w:p>
      <w:pPr/>
      <w:r>
        <w:rPr>
          <w:lang w:val="en-GB"/>
        </w:rPr>
        <w:t>Support and guidance for individuals, businesses, communities and environments affected</w:t>
      </w:r>
    </w:p>
    <w:p>
      <w:pPr/>
      <w:r>
        <w:rPr>
          <w:lang w:val="en-GB"/>
        </w:rPr>
        <w:t>•</w:t>
      </w:r>
    </w:p>
    <w:p>
      <w:pPr/>
      <w:r>
        <w:rPr>
          <w:lang w:val="en-GB"/>
        </w:rPr>
        <w:t xml:space="preserve">‍ </w:t>
      </w:r>
    </w:p>
    <w:p>
      <w:pPr/>
      <w:r>
        <w:rPr>
          <w:lang w:val="en-GB"/>
        </w:rPr>
        <w:t>Evaluation of lessons learned </w:t>
      </w:r>
    </w:p>
    <w:p>
      <w:pPr/>
      <w:r>
        <w:rPr>
          <w:lang w:val="en-GB"/>
        </w:rPr>
        <w:t>•</w:t>
      </w:r>
    </w:p>
    <w:p>
      <w:pPr/>
      <w:r>
        <w:rPr>
          <w:lang w:val="en-GB"/>
        </w:rPr>
        <w:t xml:space="preserve">‍ </w:t>
      </w:r>
    </w:p>
    <w:p>
      <w:pPr/>
      <w:r>
        <w:rPr>
          <w:lang w:val="en-GB"/>
        </w:rPr>
        <w:t>Recommendations and review of current plans and procedures</w:t>
      </w:r>
    </w:p>
    <w:p>
      <w:pPr/>
      <w:r>
        <w:rPr>
          <w:lang w:val="en-GB"/>
        </w:rPr>
        <w:br/>
      </w:r>
    </w:p>
    <w:p>
      <w:pPr/>
      <w:r>
        <w:rPr>
          <w:lang w:val="en-GB"/>
        </w:rPr>
        <w:t>Responsible organisations e.g.</w:t>
      </w:r>
    </w:p>
    <w:p>
      <w:pPr/>
      <w:r>
        <w:rPr>
          <w:lang w:val="en-GB"/>
        </w:rPr>
        <w:t>•</w:t>
      </w:r>
    </w:p>
    <w:p>
      <w:pPr/>
      <w:r>
        <w:rPr>
          <w:lang w:val="en-GB"/>
        </w:rPr>
        <w:t xml:space="preserve">‍ </w:t>
      </w:r>
    </w:p>
    <w:p>
      <w:pPr/>
      <w:r>
        <w:rPr>
          <w:lang w:val="en-GB"/>
        </w:rPr>
        <w:t>DEFRA</w:t>
      </w:r>
    </w:p>
    <w:p>
      <w:pPr/>
      <w:r>
        <w:rPr>
          <w:lang w:val="en-GB"/>
        </w:rPr>
        <w:t>•</w:t>
      </w:r>
    </w:p>
    <w:p>
      <w:pPr/>
      <w:r>
        <w:rPr>
          <w:lang w:val="en-GB"/>
        </w:rPr>
        <w:t xml:space="preserve">‍ </w:t>
      </w:r>
    </w:p>
    <w:p>
      <w:pPr/>
      <w:r>
        <w:rPr>
          <w:lang w:val="en-GB"/>
        </w:rPr>
        <w:t>Animal and Plant Health Agency (APHA)</w:t>
      </w:r>
    </w:p>
    <w:p>
      <w:pPr/>
      <w:r>
        <w:rPr>
          <w:lang w:val="en-GB"/>
        </w:rPr>
        <w:t>•</w:t>
      </w:r>
    </w:p>
    <w:p>
      <w:pPr/>
      <w:r>
        <w:rPr>
          <w:lang w:val="en-GB"/>
        </w:rPr>
        <w:t xml:space="preserve">‍ </w:t>
      </w:r>
    </w:p>
    <w:p>
      <w:pPr/>
      <w:r>
        <w:rPr>
          <w:lang w:val="en-GB"/>
        </w:rPr>
        <w:t>Forestry Commission (FC)</w:t>
      </w:r>
    </w:p>
    <w:p>
      <w:pPr/>
      <w:r>
        <w:rPr>
          <w:lang w:val="en-GB"/>
        </w:rPr>
        <w:t>•</w:t>
      </w:r>
    </w:p>
    <w:p>
      <w:pPr/>
      <w:r>
        <w:rPr>
          <w:lang w:val="en-GB"/>
        </w:rPr>
        <w:t xml:space="preserve">‍ </w:t>
      </w:r>
    </w:p>
    <w:p>
      <w:pPr/>
      <w:r>
        <w:rPr>
          <w:lang w:val="en-GB"/>
        </w:rPr>
        <w:t>Forest Research (FR)</w:t>
      </w:r>
    </w:p>
    <w:p>
      <w:pPr/>
      <w:r>
        <w:rPr>
          <w:lang w:val="en-GB"/>
        </w:rPr>
        <w:t>•</w:t>
      </w:r>
    </w:p>
    <w:p>
      <w:pPr/>
      <w:r>
        <w:rPr>
          <w:lang w:val="en-GB"/>
        </w:rPr>
        <w:t xml:space="preserve">‍ </w:t>
      </w:r>
    </w:p>
    <w:p>
      <w:pPr/>
      <w:r>
        <w:rPr>
          <w:lang w:val="en-GB"/>
        </w:rPr>
        <w:t>Scottish Government (SG)</w:t>
      </w:r>
    </w:p>
    <w:p>
      <w:pPr/>
      <w:r>
        <w:rPr>
          <w:lang w:val="en-GB"/>
        </w:rPr>
        <w:t>•</w:t>
      </w:r>
    </w:p>
    <w:p>
      <w:pPr/>
      <w:r>
        <w:rPr>
          <w:lang w:val="en-GB"/>
        </w:rPr>
        <w:t xml:space="preserve">‍ </w:t>
      </w:r>
    </w:p>
    <w:p>
      <w:pPr/>
      <w:r>
        <w:rPr>
          <w:lang w:val="en-GB"/>
        </w:rPr>
        <w:t>SASA (a division of the Scottish Government Agriculture and Rural Economy Directorate (ARE)</w:t>
      </w:r>
    </w:p>
    <w:p>
      <w:pPr/>
      <w:r>
        <w:rPr>
          <w:lang w:val="en-GB"/>
        </w:rPr>
        <w:t>•</w:t>
      </w:r>
    </w:p>
    <w:p>
      <w:pPr/>
      <w:r>
        <w:rPr>
          <w:lang w:val="en-GB"/>
        </w:rPr>
        <w:t xml:space="preserve">‍ </w:t>
      </w:r>
    </w:p>
    <w:p>
      <w:pPr/>
      <w:r>
        <w:rPr>
          <w:lang w:val="en-GB"/>
        </w:rPr>
        <w:t>NatureScot</w:t>
      </w:r>
    </w:p>
    <w:p>
      <w:pPr/>
      <w:r>
        <w:rPr>
          <w:lang w:val="en-GB"/>
        </w:rPr>
        <w:t>•</w:t>
      </w:r>
    </w:p>
    <w:p>
      <w:pPr/>
      <w:r>
        <w:rPr>
          <w:lang w:val="en-GB"/>
        </w:rPr>
        <w:t xml:space="preserve">‍ </w:t>
      </w:r>
    </w:p>
    <w:p>
      <w:pPr/>
      <w:r>
        <w:rPr>
          <w:lang w:val="en-GB"/>
        </w:rPr>
        <w:t>Scottish Forestry (SF)</w:t>
      </w:r>
    </w:p>
    <w:p>
      <w:pPr/>
      <w:r>
        <w:rPr>
          <w:lang w:val="en-GB"/>
        </w:rPr>
        <w:t>•</w:t>
      </w:r>
    </w:p>
    <w:p>
      <w:pPr/>
      <w:r>
        <w:rPr>
          <w:lang w:val="en-GB"/>
        </w:rPr>
        <w:t xml:space="preserve">‍ </w:t>
      </w:r>
    </w:p>
    <w:p>
      <w:pPr/>
      <w:r>
        <w:rPr>
          <w:lang w:val="en-GB"/>
        </w:rPr>
        <w:t>Natural Resources Wales (NRW)</w:t>
      </w:r>
    </w:p>
    <w:p>
      <w:pPr/>
      <w:r>
        <w:rPr>
          <w:lang w:val="en-GB"/>
        </w:rPr>
        <w:t>•</w:t>
      </w:r>
    </w:p>
    <w:p>
      <w:pPr/>
      <w:r>
        <w:rPr>
          <w:lang w:val="en-GB"/>
        </w:rPr>
        <w:t xml:space="preserve">‍ </w:t>
      </w:r>
    </w:p>
    <w:p>
      <w:pPr/>
      <w:r>
        <w:rPr>
          <w:lang w:val="en-GB"/>
        </w:rPr>
        <w:t>Welsh Government</w:t>
      </w:r>
    </w:p>
    <w:p>
      <w:pPr/>
      <w:r>
        <w:rPr>
          <w:lang w:val="en-GB"/>
        </w:rPr>
        <w:t>•</w:t>
      </w:r>
    </w:p>
    <w:p>
      <w:pPr/>
      <w:r>
        <w:rPr>
          <w:lang w:val="en-GB"/>
        </w:rPr>
        <w:t xml:space="preserve">‍ </w:t>
      </w:r>
    </w:p>
    <w:p>
      <w:pPr/>
      <w:r>
        <w:rPr>
          <w:lang w:val="en-GB"/>
        </w:rPr>
        <w:t>DAERA Plant Health Directorate</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LANCS103</w:t>
      </w:r>
      <w:r>
        <w:rPr>
          <w:lang w:val="en-GB"/>
        </w:rPr>
        <w:br/>
      </w:r>
    </w:p>
    <w:p>
      <w:pPr/>
      <w:r>
        <w:rPr>
          <w:lang w:val="en-GB"/>
          <w:b/>
        </w:rPr>
        <w:t>Relevant Occupations</w:t>
      </w:r>
    </w:p>
    <w:p>
      <w:pPr/>
      <w:r>
        <w:rPr>
          <w:lang w:val="en-GB"/>
        </w:rPr>
        <w:t>Plant Health Inspector</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plant; tree; pests; diseases; outbreak; incident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02a774478d4202" /><Relationship Type="http://schemas.openxmlformats.org/officeDocument/2006/relationships/numbering" Target="/word/numbering.xml" Id="R4192b10f0dd24a67" /><Relationship Type="http://schemas.openxmlformats.org/officeDocument/2006/relationships/settings" Target="/word/settings.xml" Id="R8e0d671526c94218" /><Relationship Type="http://schemas.openxmlformats.org/officeDocument/2006/relationships/image" Target="/word/media/6cb93a1c-c81e-40ca-b24f-2a250b1e238a.png" Id="R904f06c1969d4586" /></Relationships>
</file>