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c60d6abc8b4b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LANLEO6</w:t>
            </w:r>
            <w:r>
              <w:rPr>
                <w:b/>
              </w:rPr>
              <w:br/>
            </w:r>
            <w:r>
              <w:rPr>
                <w:b/>
              </w:rPr>
              <w:t>Apply core land-based engineering principles: material preparation, shaping and assembling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c5b452518c4f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application of core land-based engineering principles, specifically material preparation, shaping and assembling. It covers the preparation and finishing of materials, the shaping and forming of materials by hand and power tools and the assembling of components using threaded, non-threaded or chemical fasteners.</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under supervision.</w:t>
      </w:r>
    </w:p>
    <w:p>
      <w:pPr/>
      <w:r>
        <w:rPr>
          <w:lang w:val="en-GB"/>
        </w:rPr>
        <w:t>Note – in accordance with current regulations, mains electricity work must be carried out by a competent person, usually an electrician.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the hazards and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interpret information in relation to engineering tasks from engineering drawings, sketches and instructions</w:t>
      </w:r>
    </w:p>
    <w:p>
      <w:pPr>
        <w:numPr>
          <w:ilvl w:val="0"/>
          <w:numId w:val="1"/>
        </w:numPr>
      </w:pPr>
      <w:r>
        <w:t>prepare materials and mark out profiles according to the specifications provided</w:t>
      </w:r>
    </w:p>
    <w:p>
      <w:pPr>
        <w:numPr>
          <w:ilvl w:val="0"/>
          <w:numId w:val="1"/>
        </w:numPr>
      </w:pPr>
      <w:r>
        <w:t>apply core land-based engineering principles to produce profiles or components to specifications and tolerances provided</w:t>
      </w:r>
    </w:p>
    <w:p>
      <w:pPr>
        <w:numPr>
          <w:ilvl w:val="0"/>
          <w:numId w:val="1"/>
        </w:numPr>
      </w:pPr>
      <w:r>
        <w:t>assemble components or sub-assemblies to the specifications provided</w:t>
      </w:r>
    </w:p>
    <w:p>
      <w:pPr>
        <w:numPr>
          <w:ilvl w:val="0"/>
          <w:numId w:val="1"/>
        </w:numPr>
      </w:pPr>
      <w:r>
        <w:t>work to and within the specifications provided</w:t>
      </w:r>
    </w:p>
    <w:p>
      <w:pPr>
        <w:numPr>
          <w:ilvl w:val="0"/>
          <w:numId w:val="1"/>
        </w:numPr>
      </w:pPr>
      <w:r>
        <w:t>verify that assemblies and components comply with the specifications provided</w:t>
      </w:r>
    </w:p>
    <w:p>
      <w:pPr>
        <w:numPr>
          <w:ilvl w:val="0"/>
          <w:numId w:val="1"/>
        </w:numPr>
      </w:pPr>
      <w:r>
        <w:t>process materials for the application provided</w:t>
      </w:r>
    </w:p>
    <w:p>
      <w:pPr>
        <w:numPr>
          <w:ilvl w:val="0"/>
          <w:numId w:val="1"/>
        </w:numPr>
      </w:pPr>
      <w:r>
        <w:t>leave the workplace in a safe condition following completion of the activity</w:t>
      </w:r>
    </w:p>
    <w:p>
      <w:pPr>
        <w:numPr>
          <w:ilvl w:val="0"/>
          <w:numId w:val="1"/>
        </w:numPr>
      </w:pPr>
      <w:r>
        <w:t>deal with the different types of waste, including hazardous and non-hazardous, caused by the activity, in accordance with instructions and the relevant legal and environmental requirements</w:t>
      </w:r>
    </w:p>
    <w:p>
      <w:pPr>
        <w:numPr>
          <w:ilvl w:val="0"/>
          <w:numId w:val="1"/>
        </w:numPr>
      </w:pPr>
      <w:r>
        <w:t>complete records, as required, in accordance with company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and risks associated with land-based engineering</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how to interpret information from engineering drawings, sketches and instructions</w:t>
      </w:r>
    </w:p>
    <w:p>
      <w:pPr>
        <w:numPr>
          <w:ilvl w:val="0"/>
          <w:numId w:val="2"/>
        </w:numPr>
      </w:pPr>
      <w:r>
        <w:t>the techniques and tools used for marking out materials</w:t>
      </w:r>
    </w:p>
    <w:p>
      <w:pPr>
        <w:numPr>
          <w:ilvl w:val="0"/>
          <w:numId w:val="2"/>
        </w:numPr>
      </w:pPr>
      <w:r>
        <w:t>the processes and techniques used for material preparation</w:t>
      </w:r>
    </w:p>
    <w:p>
      <w:pPr>
        <w:numPr>
          <w:ilvl w:val="0"/>
          <w:numId w:val="2"/>
        </w:numPr>
      </w:pPr>
      <w:r>
        <w:t>the techniques used for material shaping and forming</w:t>
      </w:r>
    </w:p>
    <w:p>
      <w:pPr>
        <w:numPr>
          <w:ilvl w:val="0"/>
          <w:numId w:val="2"/>
        </w:numPr>
      </w:pPr>
      <w:r>
        <w:t>the processes and techniques used for material finishing</w:t>
      </w:r>
    </w:p>
    <w:p>
      <w:pPr>
        <w:numPr>
          <w:ilvl w:val="0"/>
          <w:numId w:val="2"/>
        </w:numPr>
      </w:pPr>
      <w:r>
        <w:t>the different types of fasteners, their characteristics and applications</w:t>
      </w:r>
    </w:p>
    <w:p>
      <w:pPr>
        <w:numPr>
          <w:ilvl w:val="0"/>
          <w:numId w:val="2"/>
        </w:numPr>
      </w:pPr>
      <w:r>
        <w:t>the methods for securing components against vibration and rotational movement, including mechanical and chemical/adhesive</w:t>
      </w:r>
    </w:p>
    <w:p>
      <w:pPr>
        <w:numPr>
          <w:ilvl w:val="0"/>
          <w:numId w:val="2"/>
        </w:numPr>
      </w:pPr>
      <w:r>
        <w:t>the material and compound gasket characteristics, function and applications</w:t>
      </w:r>
    </w:p>
    <w:p>
      <w:pPr>
        <w:numPr>
          <w:ilvl w:val="0"/>
          <w:numId w:val="2"/>
        </w:numPr>
      </w:pPr>
      <w:r>
        <w:t>the reasons for, and the methods of, aligning components with one another</w:t>
      </w:r>
    </w:p>
    <w:p>
      <w:pPr>
        <w:numPr>
          <w:ilvl w:val="0"/>
          <w:numId w:val="2"/>
        </w:numPr>
      </w:pPr>
      <w:r>
        <w:t>the reasons for quality control and the methods of verifying compliance with specifications</w:t>
      </w:r>
    </w:p>
    <w:p>
      <w:pPr>
        <w:numPr>
          <w:ilvl w:val="0"/>
          <w:numId w:val="2"/>
        </w:numPr>
      </w:pPr>
      <w:r>
        <w:t>the importance of leaving the workplace in a safe condition following completion of the activity</w:t>
      </w:r>
    </w:p>
    <w:p>
      <w:pPr>
        <w:numPr>
          <w:ilvl w:val="0"/>
          <w:numId w:val="2"/>
        </w:numPr>
      </w:pPr>
      <w:r>
        <w:t>how to deal with the different types of waste, including hazardous and non-hazardous, caused by the activity, in accordance with instructions and the relevant legal and environmental requirements</w:t>
      </w:r>
    </w:p>
    <w:p>
      <w:pPr>
        <w:numPr>
          <w:ilvl w:val="0"/>
          <w:numId w:val="2"/>
        </w:numPr>
      </w:pPr>
      <w:r>
        <w:t>the potential impact that the activity could have on the environment and the ways in which this can be controlled</w:t>
      </w:r>
    </w:p>
    <w:p>
      <w:pPr>
        <w:numPr>
          <w:ilvl w:val="0"/>
          <w:numId w:val="2"/>
        </w:numPr>
      </w:pPr>
      <w:r>
        <w:t>the records that need to be completed and the company procedure for these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​assemble components - e.g. retaining and locating components; routing of pipes and wiring harnesses; timing of components to one another; fitting and removal of gaskets, orientation and alignment of components</w:t>
      </w:r>
    </w:p>
    <w:p>
      <w:pPr>
        <w:numPr>
          <w:ilvl w:val="0"/>
          <w:numId w:val="3"/>
        </w:numPr>
      </w:pPr>
      <w:r>
        <w:t>fasteners - e.g. bolts, nuts, washers, screws, keys, studs, rivets, pins, dowels, keys, circlips and snap rings, belt joiners</w:t>
      </w:r>
    </w:p>
    <w:p>
      <w:pPr>
        <w:numPr>
          <w:ilvl w:val="0"/>
          <w:numId w:val="3"/>
        </w:numPr>
      </w:pPr>
      <w:r>
        <w:t>finishing - e.g. annealing, painting, plating, polishing, hardening, case hardening, tempering, hard-facing hardening</w:t>
      </w:r>
    </w:p>
    <w:p>
      <w:pPr>
        <w:numPr>
          <w:ilvl w:val="0"/>
          <w:numId w:val="3"/>
        </w:numPr>
      </w:pPr>
      <w:r>
        <w:t>marking out techniques and tools - e.g. engineer’s blue, templates, jigs</w:t>
      </w:r>
    </w:p>
    <w:p>
      <w:pPr>
        <w:numPr>
          <w:ilvl w:val="0"/>
          <w:numId w:val="3"/>
        </w:numPr>
      </w:pPr>
      <w:r>
        <w:t>scriber’s preparation - e.g. cleaning, degreasing and de-scaling</w:t>
      </w:r>
    </w:p>
    <w:p>
      <w:pPr>
        <w:numPr>
          <w:ilvl w:val="0"/>
          <w:numId w:val="3"/>
        </w:numPr>
      </w:pPr>
      <w:r>
        <w:t>shaping and forming - e.g. grinding, filing, sawing, using applied heat, oxy-acetylene and plasma cutting and applied pressure.</w:t>
      </w:r>
    </w:p>
    <w:p>
      <w:pPr>
        <w:numPr>
          <w:ilvl w:val="0"/>
          <w:numId w:val="3"/>
        </w:numPr>
      </w:pPr>
      <w:r>
        <w:t>securing components - e.g. cab glass, spring washers, securing tabs, self-locking nuts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LANLEO6</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engineering; principles; materials; preparation; shaping; assembly; land-based; equipment;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7811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7802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262F7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a4d56de86744f0" /><Relationship Type="http://schemas.openxmlformats.org/officeDocument/2006/relationships/numbering" Target="/word/numbering.xml" Id="R31f11287832f4b76" /><Relationship Type="http://schemas.openxmlformats.org/officeDocument/2006/relationships/settings" Target="/word/settings.xml" Id="Re42e0925c1864683" /><Relationship Type="http://schemas.openxmlformats.org/officeDocument/2006/relationships/image" Target="/word/media/ca87a9f9-d70c-4c61-b5e0-cb451d680bf4.png" Id="R19c5b452518c4ffb" /></Relationships>
</file>