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6ea5d93c3c4e6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SFHGEN62</w:t>
            </w:r>
            <w:r>
              <w:rPr>
                <w:b/>
              </w:rPr>
              <w:br/>
            </w:r>
            <w:r>
              <w:rPr>
                <w:b/>
              </w:rPr>
              <w:t>Collate and communicate health information to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86039763e445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collating and communicating health information to individuals, their family or significant others in response to queries or as part of health promotion and giving advice. Examples include providing information regarding the reported success of a particular treatment; significant news; giving advice following a diagnosis or clinical intervention and associated record keeping.  </w:t>
      </w:r>
    </w:p>
    <w:p>
      <w:pPr/>
      <w:r>
        <w:rPr>
          <w:lang w:val="en-GB"/>
        </w:rPr>
        <w:t>This standard is applicable to a wide range of health contexts and roles in emergency, primary and secondary care.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collating and communicating health information to individuals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establish consent and access information on collating and communicating health information to individuals </w:t>
      </w:r>
    </w:p>
    <w:p>
      <w:pPr/>
      <w:r>
        <w:rPr>
          <w:lang w:val="en-GB"/>
        </w:rPr>
        <w:br/>
      </w:r>
    </w:p>
    <w:p>
      <w:pPr/>
      <w:r>
        <w:rPr>
          <w:lang w:val="en-GB"/>
        </w:rPr>
        <w:t xml:space="preserve"> P4. identify the health information required and use relevant secure sources to access it. </w:t>
      </w:r>
    </w:p>
    <w:p>
      <w:pPr/>
      <w:r>
        <w:rPr>
          <w:lang w:val="en-GB"/>
        </w:rPr>
        <w:br/>
      </w:r>
    </w:p>
    <w:p>
      <w:pPr/>
      <w:r>
        <w:rPr>
          <w:lang w:val="en-GB"/>
        </w:rPr>
        <w:t xml:space="preserve"> P5. ensure the health information is: </w:t>
      </w:r>
    </w:p>
    <w:p>
      <w:pPr/>
      <w:r>
        <w:rPr>
          <w:lang w:val="en-GB"/>
        </w:rPr>
        <w:br/>
      </w:r>
    </w:p>
    <w:p>
      <w:pPr/>
      <w:r>
        <w:rPr>
          <w:lang w:val="en-GB"/>
        </w:rPr>
        <w:t xml:space="preserve">       a. evidence based </w:t>
      </w:r>
    </w:p>
    <w:p>
      <w:pPr/>
      <w:r>
        <w:rPr>
          <w:lang w:val="en-GB"/>
        </w:rPr>
        <w:br/>
      </w:r>
    </w:p>
    <w:p>
      <w:pPr/>
      <w:r>
        <w:rPr>
          <w:lang w:val="en-GB"/>
        </w:rPr>
        <w:t xml:space="preserve">       b. accurate and reliable </w:t>
      </w:r>
    </w:p>
    <w:p>
      <w:pPr/>
      <w:r>
        <w:rPr>
          <w:lang w:val="en-GB"/>
        </w:rPr>
        <w:br/>
      </w:r>
    </w:p>
    <w:p>
      <w:pPr/>
      <w:r>
        <w:rPr>
          <w:lang w:val="en-GB"/>
        </w:rPr>
        <w:t xml:space="preserve">       c. timely </w:t>
      </w:r>
    </w:p>
    <w:p>
      <w:pPr/>
      <w:r>
        <w:rPr>
          <w:lang w:val="en-GB"/>
        </w:rPr>
        <w:br/>
      </w:r>
    </w:p>
    <w:p>
      <w:pPr/>
      <w:r>
        <w:rPr>
          <w:lang w:val="en-GB"/>
        </w:rPr>
        <w:t xml:space="preserve">       d. up-to-date </w:t>
      </w:r>
    </w:p>
    <w:p>
      <w:pPr/>
      <w:r>
        <w:rPr>
          <w:lang w:val="en-GB"/>
        </w:rPr>
        <w:br/>
      </w:r>
    </w:p>
    <w:p>
      <w:pPr/>
      <w:r>
        <w:rPr>
          <w:lang w:val="en-GB"/>
        </w:rPr>
        <w:t xml:space="preserve">       e. relevant to the stated requirements</w:t>
      </w:r>
    </w:p>
    <w:p>
      <w:pPr/>
      <w:r>
        <w:rPr>
          <w:lang w:val="en-GB"/>
        </w:rPr>
        <w:t xml:space="preserve">P6. present the health information in a format that is consistent with the individual's level of understanding, culture, background and preferred ways of communicating </w:t>
      </w:r>
    </w:p>
    <w:p>
      <w:pPr/>
      <w:r>
        <w:rPr>
          <w:lang w:val="en-GB"/>
        </w:rPr>
        <w:br/>
      </w:r>
    </w:p>
    <w:p>
      <w:pPr/>
      <w:r>
        <w:rPr>
          <w:lang w:val="en-GB"/>
        </w:rPr>
        <w:t xml:space="preserve"> P7. take steps to clarify issues in a manner that is consistent with the individual's level of understanding, culture and background </w:t>
      </w:r>
    </w:p>
    <w:p>
      <w:pPr/>
      <w:r>
        <w:rPr>
          <w:lang w:val="en-GB"/>
        </w:rPr>
        <w:br/>
      </w:r>
    </w:p>
    <w:p>
      <w:pPr/>
      <w:r>
        <w:rPr>
          <w:lang w:val="en-GB"/>
        </w:rPr>
        <w:t xml:space="preserve"> P8. confirm that the information needs of the recipient has been met </w:t>
      </w:r>
    </w:p>
    <w:p>
      <w:pPr/>
      <w:r>
        <w:rPr>
          <w:lang w:val="en-GB"/>
        </w:rPr>
        <w:br/>
      </w:r>
    </w:p>
    <w:p>
      <w:pPr/>
      <w:r>
        <w:rPr>
          <w:lang w:val="en-GB"/>
        </w:rPr>
        <w:t xml:space="preserve"> P9. complete all relevant documentation required for collating and communicating health information to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collate and communicate health information to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how to present information in a tone, manner and at a speed which is appropriate to the needs and capabilities of the individuals </w:t>
      </w:r>
    </w:p>
    <w:p>
      <w:pPr/>
      <w:r>
        <w:rPr>
          <w:lang w:val="en-GB"/>
        </w:rPr>
        <w:br/>
      </w:r>
    </w:p>
    <w:p>
      <w:pPr/>
      <w:r>
        <w:rPr>
          <w:lang w:val="en-GB"/>
        </w:rPr>
        <w:t xml:space="preserve"> K6. the needs of individuals including issues relating to dignity, confidentiality, and privacy </w:t>
      </w:r>
    </w:p>
    <w:p>
      <w:pPr/>
      <w:r>
        <w:rPr>
          <w:lang w:val="en-GB"/>
        </w:rPr>
        <w:br/>
      </w:r>
    </w:p>
    <w:p>
      <w:pPr/>
      <w:r>
        <w:rPr>
          <w:lang w:val="en-GB"/>
        </w:rPr>
        <w:t xml:space="preserve"> K7. the principles of effective communication </w:t>
      </w:r>
    </w:p>
    <w:p>
      <w:pPr/>
      <w:r>
        <w:rPr>
          <w:lang w:val="en-GB"/>
        </w:rPr>
        <w:br/>
      </w:r>
    </w:p>
    <w:p>
      <w:pPr/>
      <w:r>
        <w:rPr>
          <w:lang w:val="en-GB"/>
        </w:rPr>
        <w:t xml:space="preserve"> K8. the ethics concerning confidentiality, and the tensions which may exist between an individual's request for information and the organisation's responsibilities within information governance  </w:t>
      </w:r>
    </w:p>
    <w:p>
      <w:pPr/>
      <w:r>
        <w:rPr>
          <w:lang w:val="en-GB"/>
        </w:rPr>
        <w:br/>
      </w:r>
    </w:p>
    <w:p>
      <w:pPr/>
      <w:r>
        <w:rPr>
          <w:lang w:val="en-GB"/>
        </w:rPr>
        <w:t xml:space="preserve"> K9. the available sources and types of health information and the relative value of each to the situation and individual need </w:t>
      </w:r>
    </w:p>
    <w:p>
      <w:pPr/>
      <w:r>
        <w:rPr>
          <w:lang w:val="en-GB"/>
        </w:rPr>
        <w:br/>
      </w:r>
    </w:p>
    <w:p>
      <w:pPr/>
      <w:r>
        <w:rPr>
          <w:lang w:val="en-GB"/>
        </w:rPr>
        <w:t xml:space="preserve"> K10. the importance of using secure sources of information </w:t>
      </w:r>
    </w:p>
    <w:p>
      <w:pPr/>
      <w:r>
        <w:rPr>
          <w:lang w:val="en-GB"/>
        </w:rPr>
        <w:br/>
      </w:r>
    </w:p>
    <w:p>
      <w:pPr/>
      <w:r>
        <w:rPr>
          <w:lang w:val="en-GB"/>
        </w:rPr>
        <w:t xml:space="preserve"> K11. the importance of using reliable evidence-based health information sources </w:t>
      </w:r>
    </w:p>
    <w:p>
      <w:pPr/>
      <w:r>
        <w:rPr>
          <w:lang w:val="en-GB"/>
        </w:rPr>
        <w:br/>
      </w:r>
    </w:p>
    <w:p>
      <w:pPr/>
      <w:r>
        <w:rPr>
          <w:lang w:val="en-GB"/>
        </w:rPr>
        <w:t xml:space="preserve"> K12. difficulties that can occur when communicating with individuals in stressful situations and how to manage these </w:t>
      </w:r>
    </w:p>
    <w:p>
      <w:pPr/>
      <w:r>
        <w:rPr>
          <w:lang w:val="en-GB"/>
        </w:rPr>
        <w:br/>
      </w:r>
    </w:p>
    <w:p>
      <w:pPr/>
      <w:r>
        <w:rPr>
          <w:lang w:val="en-GB"/>
        </w:rPr>
        <w:t xml:space="preserve"> K13. the need for tact and diplomacy when exchanging information of a potentially stressful nature </w:t>
      </w:r>
    </w:p>
    <w:p>
      <w:pPr/>
      <w:r>
        <w:rPr>
          <w:lang w:val="en-GB"/>
        </w:rPr>
        <w:br/>
      </w:r>
    </w:p>
    <w:p>
      <w:pPr/>
      <w:r>
        <w:rPr>
          <w:lang w:val="en-GB"/>
        </w:rPr>
        <w:t xml:space="preserve"> K14.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SFHGEN57</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Collate, communicate, health,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4e3b04114044813" /><Relationship Type="http://schemas.openxmlformats.org/officeDocument/2006/relationships/numbering" Target="/word/numbering.xml" Id="R174e10ec38824925" /><Relationship Type="http://schemas.openxmlformats.org/officeDocument/2006/relationships/settings" Target="/word/settings.xml" Id="R34e72fba28a24d2e" /><Relationship Type="http://schemas.openxmlformats.org/officeDocument/2006/relationships/image" Target="/word/media/3331c21e-b1d6-4306-adbf-98d34b6b0fc4.png" Id="R8586039763e445a7" /></Relationships>
</file>