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d099909b6545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SFHCHS12</w:t>
            </w:r>
            <w:r>
              <w:rPr>
                <w:b/>
              </w:rPr>
              <w:br/>
            </w:r>
            <w:r>
              <w:rPr>
                <w:b/>
              </w:rPr>
              <w:t>Undertake treatments and dressings related to the care of lesions and wounds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7e02c18c664d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treatments and dressings related to the care of individuals' lesions and wounds. It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This standard involves removing and disposing of soiled dressings and wound coverings, cleaning lesions and wounds and applying fresh treatments/dressings.</w:t>
      </w:r>
    </w:p>
    <w:p>
      <w:pPr/>
      <w:r>
        <w:rPr>
          <w:lang w:val="en-GB"/>
        </w:rPr>
        <w:t>All of these activities must be undertaken using an aseptic technique and following organisational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undertaking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individuals’ identity, establish consent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for treatments and dressings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care and support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carry out the treatments and dressings: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care and support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in line with workplace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a manner which optimises the comfort, privacy and dignity of the individual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observe the lesion/wound for any change in appearance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observe the individual throughout the activity,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maintain the sterility of the dressing prior to and during application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or attach dressings correctly, if applicable use suitable non-allergenic dressings where individual allergies have been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ensure that the pressure exerted by the dressing is consistent with the type of wound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undertaking treatments and dressings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undertaking treatment and dressings related to the care of lesions and wounds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nature of the lesions/wound treatment or dressing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concerns and worries which individuals may have in relation to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during and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role of the tissue viability/wound care specialist practitioner and how they can be contacted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anatomy and physiology of the skin related to the application of dressings and wound supports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following regarding wound healing: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the process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factors affecting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potential complications of wound healing</w:t>
      </w:r>
    </w:p>
    <w:p>
      <w:pPr/>
      <w:r>
        <w:rPr>
          <w:lang w:val="en-GB"/>
        </w:rPr>
        <w:t xml:space="preserve">K13. the principles and working practices associated with: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asepsis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antisepsis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cross infection</w:t>
      </w:r>
    </w:p>
    <w:p>
      <w:pPr/>
      <w:r>
        <w:rPr>
          <w:lang w:val="en-GB"/>
        </w:rPr>
        <w:t xml:space="preserve">K14.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potential sources of contamination when undertaking treatments and dressings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potential consequences of wound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equipment and materials required for the treatments and dressings you are required to undertake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types of treatments that are undertaken within your work area and why they are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types and purposes of dressings used within your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importance of following the treatment and dressing procedures exactly as it is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packing up used equipment and soiled dressing materials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and dispose of waste material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Treatments, dressings, lesions, wounds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3a63789f2649cf" /><Relationship Type="http://schemas.openxmlformats.org/officeDocument/2006/relationships/numbering" Target="/word/numbering.xml" Id="Rbcc6839a00484920" /><Relationship Type="http://schemas.openxmlformats.org/officeDocument/2006/relationships/settings" Target="/word/settings.xml" Id="R02d890e10beb4ce4" /><Relationship Type="http://schemas.openxmlformats.org/officeDocument/2006/relationships/image" Target="/word/media/39562e13-7025-4833-bad9-6622f7ff1b05.png" Id="Rb77e02c18c664d4b" /></Relationships>
</file>