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e56fdd3d9b442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SFHCHS10</w:t>
            </w:r>
            <w:r>
              <w:rPr>
                <w:b/>
              </w:rPr>
              <w:br/>
            </w:r>
            <w:r>
              <w:rPr>
                <w:b/>
              </w:rPr>
              <w:t>Undertake stoma care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53971ea6c547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the care of a bowel/bladder stoma.  This may be for individuals with new stomas or for individuals with established stomas who are unable to manage their own stoma care.</w:t>
      </w:r>
    </w:p>
    <w:p>
      <w:pPr/>
      <w:r>
        <w:rPr>
          <w:lang w:val="en-GB"/>
        </w:rPr>
        <w:t>Where the stoma is newly formed in the immediate post-operative period, these activities must be undertaken using an aseptic technique and following organisational guidelines and procedures.</w:t>
      </w:r>
    </w:p>
    <w:p>
      <w:pPr/>
      <w:r>
        <w:rPr>
          <w:lang w:val="en-GB"/>
        </w:rPr>
        <w:t>The standard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the individual's identity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all equipment and materials for stoma care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carry out stoma care: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line with manufacturer's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in a manner which optimises the individual's comfort and dignity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observe and support the individual throughout the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encourage individuals to communicate any concerns about their stoma care needs and functioning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monitor and report on the individual's pattern of stoma function, consistency of body waste and any changes that may have occurred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encourage and assist individuals to select and consume food and drink and take medication if prescribed to maintain effective stoma function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provide active support for individuals to manage their own stoma in a manner that promotes self-respect, maximises privacy and is consistent with the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provide stoma care equipment at a time and place convenient to the individual’s needs and circumstances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take appropriate action when the stoma care equipment appears to be inappropriate or unsuitable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give individuals the opportunity to dispose of their own used stoma care equipment and maintain their personal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ensure that equipment and soiled linen is disposed of safely, hygienically and in ways which minimise the risk of cross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P17. complete all relevant documentation required for undertaking stoma care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why individuals should be supported and informed about the activity or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concerns and worries which individuals may have in relation to undertaking stoma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exercising sensitivity to the individual's perception of the situation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factors which will affect the level of assistance required such as age, medical condition, personal beliefs and preferences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during and following stoma care activities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role of the Stoma Care specialist practitioner and how they can be contacted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different types of stoma, and the equipment, materials, and appliances available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anatomy in relation to the position and function of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colostomies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ileostomies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ileal conduits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d. nephrostomy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effects of diet and mobility on stoma function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potential consequences of contamination of stoma drainage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suitability of stoma appliances for different types of stoma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importance of involving the individual in the care of their stoma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providing the individual with sufficient stoma care materials to carry out stoma care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Stoma, 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fb4486305e4198" /><Relationship Type="http://schemas.openxmlformats.org/officeDocument/2006/relationships/numbering" Target="/word/numbering.xml" Id="R512995ae3d9d4c92" /><Relationship Type="http://schemas.openxmlformats.org/officeDocument/2006/relationships/settings" Target="/word/settings.xml" Id="R96f9725fdb404762" /><Relationship Type="http://schemas.openxmlformats.org/officeDocument/2006/relationships/image" Target="/word/media/f72fc0c7-10ba-480c-8b96-21af9d3b17cf.png" Id="R2653971ea6c547e9" /></Relationships>
</file>