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a5355b89f94f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LSIAG10</w:t>
            </w:r>
            <w:r>
              <w:rPr>
                <w:b/>
              </w:rPr>
              <w:br/>
            </w:r>
            <w:r>
              <w:rPr>
                <w:b/>
              </w:rPr>
              <w:t>Present cases for clients in formal proceedings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c713ead2504f7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cases for clients in formal proceedings.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looks at reviewing the outcomes of formal proceedings as well as the options available for further advocacy proceedings.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the relevant legal, professional and organisational requirements, policies, procedures and guidelines for formal proceedings</w:t>
      </w:r>
    </w:p>
    <w:p>
      <w:pPr>
        <w:numPr>
          <w:ilvl w:val="0"/>
          <w:numId w:val="1"/>
        </w:numPr>
      </w:pPr>
      <w:r>
        <w:t>check that appropriate people, documentation and associated materials are available for cases</w:t>
      </w:r>
    </w:p>
    <w:p>
      <w:pPr>
        <w:numPr>
          <w:ilvl w:val="0"/>
          <w:numId w:val="1"/>
        </w:numPr>
      </w:pPr>
      <w:r>
        <w:t>prepare case material for presentation in formal proceedings</w:t>
      </w:r>
    </w:p>
    <w:p>
      <w:pPr>
        <w:numPr>
          <w:ilvl w:val="0"/>
          <w:numId w:val="1"/>
        </w:numPr>
      </w:pPr>
      <w:r>
        <w:t>review information/cases to ensure that all relevant information is available</w:t>
      </w:r>
    </w:p>
    <w:p>
      <w:pPr>
        <w:numPr>
          <w:ilvl w:val="0"/>
          <w:numId w:val="1"/>
        </w:numPr>
      </w:pPr>
      <w:r>
        <w:t>present cases for clients in formal proceedings</w:t>
      </w:r>
    </w:p>
    <w:p>
      <w:pPr>
        <w:numPr>
          <w:ilvl w:val="0"/>
          <w:numId w:val="1"/>
        </w:numPr>
      </w:pPr>
      <w:r>
        <w:t>identify errors in information for formal proceedings relating to clients</w:t>
      </w:r>
    </w:p>
    <w:p>
      <w:pPr>
        <w:numPr>
          <w:ilvl w:val="0"/>
          <w:numId w:val="1"/>
        </w:numPr>
      </w:pPr>
      <w:r>
        <w:t>counter arguments or disagreements of opposing parties in line with the needs of clients</w:t>
      </w:r>
    </w:p>
    <w:p>
      <w:pPr>
        <w:numPr>
          <w:ilvl w:val="0"/>
          <w:numId w:val="1"/>
        </w:numPr>
      </w:pPr>
      <w:r>
        <w:t>take action to address problems identified in formal proceedings</w:t>
      </w:r>
    </w:p>
    <w:p>
      <w:pPr>
        <w:numPr>
          <w:ilvl w:val="0"/>
          <w:numId w:val="1"/>
        </w:numPr>
      </w:pPr>
      <w:r>
        <w:t>review outcomes of formal proceedings with clients</w:t>
      </w:r>
    </w:p>
    <w:p>
      <w:pPr>
        <w:numPr>
          <w:ilvl w:val="0"/>
          <w:numId w:val="1"/>
        </w:numPr>
      </w:pPr>
      <w:r>
        <w:t>clarify responses of formal proceedings to clients</w:t>
      </w:r>
    </w:p>
    <w:p>
      <w:pPr>
        <w:numPr>
          <w:ilvl w:val="0"/>
          <w:numId w:val="1"/>
        </w:numPr>
      </w:pPr>
      <w:r>
        <w:t>explain the outcomes of formal proceedings to clients and others, and their consequences</w:t>
      </w:r>
    </w:p>
    <w:p>
      <w:pPr>
        <w:numPr>
          <w:ilvl w:val="0"/>
          <w:numId w:val="1"/>
        </w:numPr>
      </w:pPr>
      <w:r>
        <w:t>identify objectives that have been achieved for formal proceedings and those that have not in accordance with organisational requirements</w:t>
      </w:r>
    </w:p>
    <w:p>
      <w:pPr>
        <w:numPr>
          <w:ilvl w:val="0"/>
          <w:numId w:val="1"/>
        </w:numPr>
      </w:pPr>
      <w:r>
        <w:t>identify options and requirements for continuing further support</w:t>
      </w:r>
    </w:p>
    <w:p>
      <w:pPr>
        <w:numPr>
          <w:ilvl w:val="0"/>
          <w:numId w:val="1"/>
        </w:numPr>
      </w:pPr>
      <w:r>
        <w:t>record details of formal proceedings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job role and responsibilities</w:t>
      </w:r>
    </w:p>
    <w:p>
      <w:pPr>
        <w:numPr>
          <w:ilvl w:val="0"/>
          <w:numId w:val="2"/>
        </w:numPr>
      </w:pPr>
      <w:r>
        <w:t>the importance of complying with relevant legal, professional and organisational requirements, policies, procedures and guidelines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what and who should be available at different stages of cases</w:t>
      </w:r>
    </w:p>
    <w:p>
      <w:pPr>
        <w:numPr>
          <w:ilvl w:val="0"/>
          <w:numId w:val="2"/>
        </w:numPr>
      </w:pPr>
      <w:r>
        <w:t>information that should be passed to others in relation to formal proceedings</w:t>
      </w:r>
    </w:p>
    <w:p>
      <w:pPr>
        <w:numPr>
          <w:ilvl w:val="0"/>
          <w:numId w:val="2"/>
        </w:numPr>
      </w:pPr>
      <w:r>
        <w:t>how to present cases and information that should be included in presentations for formal proceedings</w:t>
      </w:r>
    </w:p>
    <w:p>
      <w:pPr>
        <w:numPr>
          <w:ilvl w:val="0"/>
          <w:numId w:val="2"/>
        </w:numPr>
      </w:pPr>
      <w:r>
        <w:t>how to address and challenge the following;</w:t>
      </w:r>
    </w:p>
    <w:p>
      <w:pPr>
        <w:numPr>
          <w:ilvl w:val="1"/>
          <w:numId w:val="2"/>
        </w:numPr>
      </w:pPr>
      <w:r>
        <w:t>any errors</w:t>
      </w:r>
    </w:p>
    <w:p>
      <w:pPr>
        <w:numPr>
          <w:ilvl w:val="1"/>
          <w:numId w:val="2"/>
        </w:numPr>
      </w:pPr>
      <w:r>
        <w:t>arguments that could occur</w:t>
      </w:r>
    </w:p>
    <w:p>
      <w:pPr>
        <w:numPr>
          <w:ilvl w:val="1"/>
          <w:numId w:val="2"/>
        </w:numPr>
      </w:pPr>
      <w:r>
        <w:t>any other problems</w:t>
      </w:r>
    </w:p>
    <w:p>
      <w:pPr>
        <w:numPr>
          <w:ilvl w:val="0"/>
          <w:numId w:val="2"/>
        </w:numPr>
      </w:pPr>
      <w:r>
        <w:t>the importance of addressing problems</w:t>
      </w:r>
    </w:p>
    <w:p>
      <w:pPr>
        <w:numPr>
          <w:ilvl w:val="0"/>
          <w:numId w:val="2"/>
        </w:numPr>
      </w:pPr>
      <w:r>
        <w:t>how to obtain information on requirements for formal proceedings</w:t>
      </w:r>
    </w:p>
    <w:p>
      <w:pPr>
        <w:numPr>
          <w:ilvl w:val="0"/>
          <w:numId w:val="2"/>
        </w:numPr>
      </w:pPr>
      <w:r>
        <w:t>outcomes of formal proceedings that require explanation</w:t>
      </w:r>
    </w:p>
    <w:p>
      <w:pPr>
        <w:numPr>
          <w:ilvl w:val="0"/>
          <w:numId w:val="2"/>
        </w:numPr>
      </w:pPr>
      <w:r>
        <w:t>types of responses that may be raised by other parties</w:t>
      </w:r>
    </w:p>
    <w:p>
      <w:pPr>
        <w:numPr>
          <w:ilvl w:val="0"/>
          <w:numId w:val="2"/>
        </w:numPr>
      </w:pPr>
      <w:r>
        <w:t>likely consequences of outcomes and the objectives being sought</w:t>
      </w:r>
    </w:p>
    <w:p>
      <w:pPr>
        <w:numPr>
          <w:ilvl w:val="0"/>
          <w:numId w:val="2"/>
        </w:numPr>
      </w:pPr>
      <w:r>
        <w:t>expectations of different clients in relation to formal proceedings</w:t>
      </w:r>
    </w:p>
    <w:p>
      <w:pPr>
        <w:numPr>
          <w:ilvl w:val="0"/>
          <w:numId w:val="2"/>
        </w:numPr>
      </w:pPr>
      <w:r>
        <w:t>types of further action that might be taken in relation to formal proceedings</w:t>
      </w:r>
    </w:p>
    <w:p>
      <w:pPr>
        <w:numPr>
          <w:ilvl w:val="0"/>
          <w:numId w:val="2"/>
        </w:numPr>
      </w:pPr>
      <w:r>
        <w:t>when the advocacy process should be concluded and who might initiate further action</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LSIAG10</w:t>
      </w:r>
      <w:r>
        <w:rPr>
          <w:lang w:val="en-GB"/>
        </w:rPr>
        <w:br/>
      </w:r>
    </w:p>
    <w:p>
      <w:pPr/>
      <w:r>
        <w:rPr>
          <w:lang w:val="en-GB"/>
          <w:b/>
        </w:rPr>
        <w:t>Relevant Occupations</w:t>
      </w:r>
    </w:p>
    <w:p>
      <w:pPr/>
      <w:r>
        <w:rPr>
          <w:lang w:val="en-GB"/>
        </w:rPr>
        <w:t>Education and Training, Health Professionals, Housing Advisors, Public Service Professionals</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present; cases; advice and guidance; clients; formal; proceedings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BF8D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4489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6ac0454f2243e2" /><Relationship Type="http://schemas.openxmlformats.org/officeDocument/2006/relationships/numbering" Target="/word/numbering.xml" Id="R14069912617141c4" /><Relationship Type="http://schemas.openxmlformats.org/officeDocument/2006/relationships/settings" Target="/word/settings.xml" Id="Rdb354502b9e84e8c" /><Relationship Type="http://schemas.openxmlformats.org/officeDocument/2006/relationships/image" Target="/word/media/f4212365-f26e-4678-b004-795c62a8c9d4.png" Id="R7ec713ead2504f75" /></Relationships>
</file>