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ac88bd766c49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SFHOH32</w:t>
            </w:r>
            <w:r>
              <w:rPr>
                <w:b/>
              </w:rPr>
              <w:br/>
            </w:r>
            <w:r>
              <w:rPr>
                <w:b/>
              </w:rPr>
              <w:t>Design and manufacture implant-based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88a2c2c43e4d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implant-based prostheses; dental devices which are custom-made to fit the individual's unique mouth shape and which replace one or more missing teeth. It is vital that the dental technician works as part of the team in the diagnostic and treatment planning phases as well as in the design and manufacture of the prosthesis itself. Due to the time over which implants may need to integrate with the individual's mouth prior to the final prostheses being fixed, provisional prostheses are often provided.</w:t>
      </w:r>
    </w:p>
    <w:p>
      <w:pPr/>
      <w:r>
        <w:rPr>
          <w:lang w:val="en-GB"/>
        </w:rPr>
        <w:t>The term 'client' is used to mean the member of the oral health care team who has prescribed the custom-made prosthesis. Clients may be external to the organisation (such as general dental practitioners)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design and manufacture of the implant-based prostheses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implant-based prostheses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emotional response by the individual to tooth loss</w:t>
      </w:r>
    </w:p>
    <w:p>
      <w:pPr>
        <w:numPr>
          <w:ilvl w:val="0"/>
          <w:numId w:val="2"/>
        </w:numPr>
      </w:pPr>
      <w:r>
        <w:t>the role of implant-based prostheses in the restoration and maintenance of tissue support, aesthetics, phonetics,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implant-based prostheses including transitional</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implant-based prostheses</w:t>
      </w:r>
    </w:p>
    <w:p>
      <w:pPr>
        <w:numPr>
          <w:ilvl w:val="0"/>
          <w:numId w:val="2"/>
        </w:numPr>
      </w:pPr>
      <w:r>
        <w:t>how to clean and finish the restoration, prepare and package it safely for dispatch together with instructions for the individual and client</w:t>
      </w:r>
    </w:p>
    <w:p>
      <w:pPr>
        <w:numPr>
          <w:ilvl w:val="0"/>
          <w:numId w:val="2"/>
        </w:numPr>
      </w:pPr>
      <w:r>
        <w:t>legal and physical implications of modifying manufacturer products and ensuring quality assurance .</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SFHOH32</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Implant-based, prosthesis,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EE1E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1F51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b9f0a6e55541c2" /><Relationship Type="http://schemas.openxmlformats.org/officeDocument/2006/relationships/numbering" Target="/word/numbering.xml" Id="Re6ae7a6f31df461e" /><Relationship Type="http://schemas.openxmlformats.org/officeDocument/2006/relationships/settings" Target="/word/settings.xml" Id="Re77cea4a1c714c32" /><Relationship Type="http://schemas.openxmlformats.org/officeDocument/2006/relationships/image" Target="/word/media/03aead9a-a949-4cc0-a871-0f3a3e535d95.png" Id="R6c88a2c2c43e4d79" /></Relationships>
</file>