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9408b779ae41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SFHOH24</w:t>
            </w:r>
            <w:r>
              <w:rPr>
                <w:b/>
              </w:rPr>
              <w:br/>
            </w:r>
            <w:r>
              <w:rPr>
                <w:b/>
              </w:rPr>
              <w:t>Design and manufacture metallic bridge sub-structures and metallic bridge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513005a31947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metallic bridge sub-structures and metallic bridge components. Metallic sub-structures will receive anatomical forms on to them in tooth-coloured materials.</w:t>
      </w:r>
    </w:p>
    <w:p>
      <w:pPr/>
      <w:r>
        <w:rPr>
          <w:lang w:val="en-GB"/>
        </w:rPr>
        <w:t>They are likely to be complex in form given that they combine two or more units. You need to design and manufacture the metallic bridge sub-structures and bridge components, finish and assure their quality ready for fitting in the individual's mouth.</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w:t>
      </w:r>
    </w:p>
    <w:p>
      <w:pPr/>
      <w:r>
        <w:rPr>
          <w:lang w:val="en-GB"/>
        </w:rPr>
        <w:t>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the metallic bridge sub-structures and metallic bridge components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metallic bridge sub-structures and metallic bridge components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for the next process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proprioreception due to loss of periodontal ligament</w:t>
      </w:r>
    </w:p>
    <w:p>
      <w:pPr>
        <w:numPr>
          <w:ilvl w:val="0"/>
          <w:numId w:val="2"/>
        </w:numPr>
      </w:pPr>
      <w:r>
        <w:t>the principles and practice of:</w:t>
      </w:r>
    </w:p>
    <w:p>
      <w:pPr>
        <w:numPr>
          <w:ilvl w:val="0"/>
          <w:numId w:val="2"/>
        </w:numPr>
      </w:pPr>
      <w:r>
        <w:t>
</w:t>
      </w:r>
    </w:p>
    <w:p>
      <w:pPr>
        <w:numPr>
          <w:ilvl w:val="0"/>
          <w:numId w:val="2"/>
        </w:numPr>
      </w:pPr>
      <w:r>
        <w:t> • articulation</w:t>
      </w:r>
    </w:p>
    <w:p>
      <w:pPr>
        <w:numPr>
          <w:ilvl w:val="0"/>
          <w:numId w:val="2"/>
        </w:numPr>
      </w:pPr>
      <w:r>
        <w:t>
</w:t>
      </w:r>
    </w:p>
    <w:p>
      <w:pPr>
        <w:numPr>
          <w:ilvl w:val="0"/>
          <w:numId w:val="2"/>
        </w:numPr>
      </w:pPr>
      <w:r>
        <w:t> • aesthetics and phonetics</w:t>
      </w:r>
    </w:p>
    <w:p>
      <w:pPr>
        <w:numPr>
          <w:ilvl w:val="0"/>
          <w:numId w:val="2"/>
        </w:numPr>
      </w:pPr>
      <w:r>
        <w:t>the principles of restoration design</w:t>
      </w:r>
    </w:p>
    <w:p>
      <w:pPr>
        <w:numPr>
          <w:ilvl w:val="0"/>
          <w:numId w:val="2"/>
        </w:numPr>
      </w:pPr>
      <w:r>
        <w:t>the constituents of restorations (onlays, crowns, post and cores, inlays) and how they are made</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w:t>
      </w:r>
    </w:p>
    <w:p>
      <w:pPr>
        <w:numPr>
          <w:ilvl w:val="0"/>
          <w:numId w:val="2"/>
        </w:numPr>
      </w:pPr>
      <w:r>
        <w:t>the purpose of different materials used in the manufacture of restorations</w:t>
      </w:r>
    </w:p>
    <w:p>
      <w:pPr>
        <w:numPr>
          <w:ilvl w:val="0"/>
          <w:numId w:val="2"/>
        </w:numPr>
      </w:pPr>
      <w:r>
        <w:t>the relationship between chemical bonds and the properties of solid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for the next process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SFHOH24</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Metallic, sub-structures, bridge;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39FE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A6BE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8cc2f100c54738" /><Relationship Type="http://schemas.openxmlformats.org/officeDocument/2006/relationships/numbering" Target="/word/numbering.xml" Id="R90d5d17580fb49ca" /><Relationship Type="http://schemas.openxmlformats.org/officeDocument/2006/relationships/settings" Target="/word/settings.xml" Id="Rfdfe6e00a7e84430" /><Relationship Type="http://schemas.openxmlformats.org/officeDocument/2006/relationships/image" Target="/word/media/e6612fb1-5424-434b-8315-450cda648dc5.png" Id="R06513005a319473f" /></Relationships>
</file>