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9eb3c587444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PPL.C236</w:t>
            </w:r>
            <w:r>
              <w:rPr>
                <w:b/>
              </w:rPr>
              <w:br/>
            </w:r>
            <w:r>
              <w:rPr>
                <w:b/>
              </w:rPr>
              <w:t>Position graphic materials to support retail displays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dac7e85f9c4f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positioning graphic materials so that they support the purpose of retail displays and meet all relevant requirements.</w:t>
      </w:r>
    </w:p>
    <w:p>
      <w:pPr/>
      <w:r>
        <w:rPr>
          <w:lang w:val="en-GB"/>
        </w:rPr>
        <w:t>This standard is for staff who have responsibilities for retail displays.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Position graphic materials to support retail displays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position graphic materials following all relevant procedures, which may include some or all of the following:</w:t>
      </w:r>
    </w:p>
    <w:p>
      <w:pPr>
        <w:numPr>
          <w:ilvl w:val="1"/>
          <w:numId w:val="2"/>
        </w:numPr>
      </w:pPr>
      <w:r>
        <w:t>design brief</w:t>
      </w:r>
    </w:p>
    <w:p>
      <w:pPr>
        <w:numPr>
          <w:ilvl w:val="1"/>
          <w:numId w:val="2"/>
        </w:numPr>
      </w:pPr>
      <w:r>
        <w:t>house style</w:t>
      </w:r>
    </w:p>
    <w:p>
      <w:pPr>
        <w:numPr>
          <w:ilvl w:val="1"/>
          <w:numId w:val="2"/>
        </w:numPr>
      </w:pPr>
      <w:r>
        <w:t>your workplace procedure on graphic materials</w:t>
      </w:r>
    </w:p>
    <w:p>
      <w:pPr>
        <w:numPr>
          <w:ilvl w:val="1"/>
          <w:numId w:val="2"/>
        </w:numPr>
      </w:pPr>
      <w:r>
        <w:t>manufacturers' branding requirements</w:t>
      </w:r>
    </w:p>
    <w:p>
      <w:pPr>
        <w:numPr>
          <w:ilvl w:val="1"/>
          <w:numId w:val="2"/>
        </w:numPr>
      </w:pPr>
      <w:r>
        <w:t>relevant legislation requirements</w:t>
      </w:r>
    </w:p>
    <w:p>
      <w:pPr>
        <w:numPr>
          <w:ilvl w:val="0"/>
          <w:numId w:val="2"/>
        </w:numPr>
      </w:pPr>
      <w:r>
        <w:t>position graphic materials in ways that support retail displays' intended visual effects and messages following your workplace procedures</w:t>
      </w:r>
    </w:p>
    <w:p>
      <w:pPr>
        <w:numPr>
          <w:ilvl w:val="0"/>
          <w:numId w:val="2"/>
        </w:numPr>
      </w:pPr>
      <w:r>
        <w:t>check that graphic materials are positioned safely and securely and in line with relevant legislation and your workplace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workplace procedures on positioning graphic material and relevant legislation for using graphic materials</w:t>
      </w:r>
    </w:p>
    <w:p>
      <w:pPr>
        <w:numPr>
          <w:ilvl w:val="0"/>
          <w:numId w:val="3"/>
        </w:numPr>
      </w:pPr>
      <w:r>
        <w:t>how to identify and interpret manufacturers' branding requirements</w:t>
      </w:r>
    </w:p>
    <w:p>
      <w:pPr>
        <w:numPr>
          <w:ilvl w:val="0"/>
          <w:numId w:val="3"/>
        </w:numPr>
      </w:pPr>
      <w:r>
        <w:t>how to interpret the design brief</w:t>
      </w:r>
    </w:p>
    <w:p>
      <w:pPr>
        <w:numPr>
          <w:ilvl w:val="0"/>
          <w:numId w:val="3"/>
        </w:numPr>
      </w:pPr>
      <w:r>
        <w:t>how to choose where to position graphic materials to support retail displays</w:t>
      </w:r>
    </w:p>
    <w:p>
      <w:pPr>
        <w:numPr>
          <w:ilvl w:val="0"/>
          <w:numId w:val="3"/>
        </w:numPr>
      </w:pPr>
      <w:r>
        <w:t>how to check that graphic materials are safe and secure and the relevant legislation reqiurements</w:t>
      </w:r>
    </w:p>
    <w:p>
      <w:pPr>
        <w:numPr>
          <w:ilvl w:val="0"/>
          <w:numId w:val="3"/>
        </w:numPr>
      </w:pPr>
      <w:r>
        <w:t>how graphic materials help to attract and inform retail customers</w:t>
      </w:r>
    </w:p>
    <w:p>
      <w:pPr>
        <w:numPr>
          <w:ilvl w:val="0"/>
          <w:numId w:val="3"/>
        </w:numPr>
      </w:pPr>
      <w:r>
        <w:t>different ways to use graphic materials for different types of merchandise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PPL.C235 Order graphic materials to meet retail display requirements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SSR.236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Retail and Commercial Enterprise, Retailing and Wholesaling, Sales and Customer Services Occupations, Sales Assistants and Retail Cashiers, Merchandiser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positions; positioning; places; placing; graphics; images; pictures; visual merchandising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6E44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19E2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D21B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b6a4ea79bd4968" /><Relationship Type="http://schemas.openxmlformats.org/officeDocument/2006/relationships/numbering" Target="/word/numbering.xml" Id="Ref6c625562464240" /><Relationship Type="http://schemas.openxmlformats.org/officeDocument/2006/relationships/settings" Target="/word/settings.xml" Id="R1ba0aae095de4140" /><Relationship Type="http://schemas.openxmlformats.org/officeDocument/2006/relationships/image" Target="/word/media/9a35a9bc-db37-4486-9ea0-da8c8e06bd5a.png" Id="R3ddac7e85f9c4f28" /></Relationships>
</file>