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291c938e284c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SKANSC19</w:t>
            </w:r>
            <w:r>
              <w:rPr>
                <w:b/>
              </w:rPr>
              <w:br/>
            </w:r>
            <w:r>
              <w:rPr>
                <w:b/>
              </w:rPr>
              <w:t>Provide vitamin and/or mineral injections for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98559ae5f649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non-surgical cosmetic procedures, SKANSC14 Carry out a thorough skin analysis using technologies and SKANSC15 Complication management of non-surgical cosmetic procedures.</w:t>
      </w:r>
    </w:p>
    <w:p>
      <w:pPr/>
      <w:r>
        <w:rPr>
          <w:lang w:val="en-GB"/>
        </w:rPr>
        <w:t xml:space="preserve"> This standard is for aesthetic practitioners performing procedures using vitamin and mineral injections for wellbeing.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SFHCHS132 Obtain venous blood samples,</w:t>
      </w:r>
    </w:p>
    <w:p>
      <w:pPr/>
      <w:r>
        <w:rPr>
          <w:lang w:val="en-GB"/>
        </w:rPr>
        <w:t xml:space="preserve">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vitamin/mineral injection procedure</w:t>
      </w:r>
    </w:p>
    <w:p>
      <w:pPr>
        <w:numPr>
          <w:ilvl w:val="0"/>
          <w:numId w:val="1"/>
        </w:numPr>
      </w:pPr>
      <w:r>
        <w:t>discuss to establish the individual's objectives, concerns, expectations and desired outcomes to inform vitamin/mineral injection procedure plan to include:</w:t>
      </w:r>
    </w:p>
    <w:p>
      <w:pPr>
        <w:numPr>
          <w:ilvl w:val="1"/>
          <w:numId w:val="1"/>
        </w:numPr>
      </w:pPr>
      <w:r>
        <w:t>3.1 alternative treatment options</w:t>
      </w:r>
    </w:p>
    <w:p>
      <w:pPr>
        <w:numPr>
          <w:ilvl w:val="0"/>
          <w:numId w:val="1"/>
        </w:numPr>
      </w:pPr>
      <w:r>
        <w:t>develop an emergency plan with the identified healthcare professional trained to deal with adverse reactions to vitamin and mineral injection(s)</w:t>
      </w:r>
    </w:p>
    <w:p>
      <w:pPr>
        <w:numPr>
          <w:ilvl w:val="0"/>
          <w:numId w:val="1"/>
        </w:numPr>
      </w:pPr>
      <w:r>
        <w:t>establish the vitamin/mineral injection procedure plan in accordance with legislative requirements and organisational policies and procedures</w:t>
      </w:r>
    </w:p>
    <w:p>
      <w:pPr>
        <w:numPr>
          <w:ilvl w:val="0"/>
          <w:numId w:val="1"/>
        </w:numPr>
      </w:pPr>
      <w:r>
        <w:t>reiterate, confirm and agree with the individual, they have understood the proposed vitamin/mineral injection procedure and pain management to include:</w:t>
      </w:r>
    </w:p>
    <w:p>
      <w:pPr>
        <w:numPr>
          <w:ilvl w:val="1"/>
          <w:numId w:val="1"/>
        </w:numPr>
      </w:pPr>
      <w:r>
        <w:t>6.1 contra-actions</w:t>
      </w:r>
    </w:p>
    <w:p>
      <w:pPr>
        <w:numPr>
          <w:ilvl w:val="1"/>
          <w:numId w:val="1"/>
        </w:numPr>
      </w:pPr>
      <w:r>
        <w:t>6.2 adverse reactions</w:t>
      </w:r>
    </w:p>
    <w:p>
      <w:pPr>
        <w:numPr>
          <w:ilvl w:val="0"/>
          <w:numId w:val="1"/>
        </w:numPr>
      </w:pPr>
      <w:r>
        <w:t>obtain the individual's signed informed consent for the vitamin/mineral injection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w:t>
      </w:r>
    </w:p>
    <w:p>
      <w:pPr>
        <w:numPr>
          <w:ilvl w:val="0"/>
          <w:numId w:val="1"/>
        </w:numPr>
      </w:pPr>
      <w:r>
        <w:t>vitamin/mineral injection procedure protocol</w:t>
      </w:r>
    </w:p>
    <w:p>
      <w:pPr>
        <w:numPr>
          <w:ilvl w:val="0"/>
          <w:numId w:val="1"/>
        </w:numPr>
      </w:pPr>
      <w:r>
        <w:t> and associated risk avoidance strategies.</w:t>
      </w:r>
    </w:p>
    <w:p>
      <w:pPr>
        <w:numPr>
          <w:ilvl w:val="0"/>
          <w:numId w:val="1"/>
        </w:numPr>
      </w:pPr>
      <w:r>
        <w:t>source and select the vitamin/mineral solutions, to meet the individual’s needs, including associated risks</w:t>
      </w:r>
    </w:p>
    <w:p>
      <w:pPr>
        <w:numPr>
          <w:ilvl w:val="0"/>
          <w:numId w:val="1"/>
        </w:numPr>
      </w:pPr>
      <w:r>
        <w:t>inject the vitamin/mineral solution with the sterile single use needle in accordance with the procedure protocol to include:</w:t>
      </w:r>
    </w:p>
    <w:p>
      <w:pPr>
        <w:numPr>
          <w:ilvl w:val="1"/>
          <w:numId w:val="1"/>
        </w:numPr>
      </w:pPr>
      <w:r>
        <w:t>11.1 adaptation of injection techniques, depth and placement</w:t>
      </w:r>
    </w:p>
    <w:p>
      <w:pPr>
        <w:numPr>
          <w:ilvl w:val="0"/>
          <w:numId w:val="1"/>
        </w:numPr>
      </w:pPr>
      <w:r>
        <w:t>monitor the individual's health, wellbeing and skin reaction throughout the vitamin/mineral injection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13.1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vitamin/mineral injection procedure protocol</w:t>
      </w:r>
    </w:p>
    <w:p>
      <w:pPr>
        <w:numPr>
          <w:ilvl w:val="0"/>
          <w:numId w:val="1"/>
        </w:numPr>
      </w:pPr>
      <w:r>
        <w:t>, legislative requirements and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vitamin/mineral injection procedure and take appropriate action</w:t>
      </w:r>
    </w:p>
    <w:p>
      <w:pPr>
        <w:numPr>
          <w:ilvl w:val="0"/>
          <w:numId w:val="1"/>
        </w:numPr>
      </w:pPr>
      <w:r>
        <w:t>provide and obtain confirmation of receipt of the instructions and advice given to the individual pre and post procedure to include:</w:t>
      </w:r>
    </w:p>
    <w:p>
      <w:pPr>
        <w:numPr>
          <w:ilvl w:val="1"/>
          <w:numId w:val="1"/>
        </w:numPr>
      </w:pPr>
      <w:r>
        <w:t>17.1 the aesthetic practitioners contact details</w:t>
      </w:r>
    </w:p>
    <w:p>
      <w:pPr>
        <w:numPr>
          <w:ilvl w:val="1"/>
          <w:numId w:val="1"/>
        </w:numPr>
      </w:pPr>
      <w:r>
        <w:t>17.2 emergency plan</w:t>
      </w:r>
    </w:p>
    <w:p>
      <w:pPr>
        <w:numPr>
          <w:ilvl w:val="1"/>
          <w:numId w:val="1"/>
        </w:numPr>
      </w:pPr>
      <w:r>
        <w:t>17.3 contingency plan in the event of absence</w:t>
      </w:r>
    </w:p>
    <w:p>
      <w:pPr>
        <w:numPr>
          <w:ilvl w:val="0"/>
          <w:numId w:val="1"/>
        </w:numPr>
      </w:pPr>
      <w:r>
        <w:t>record the outcome and evaluation of the vitamin/mineral injection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types, composition and pharmacological effects of chemical compounds in vitamin/mineral solutions to include:</w:t>
      </w:r>
    </w:p>
    <w:p>
      <w:pPr>
        <w:numPr>
          <w:ilvl w:val="1"/>
          <w:numId w:val="2"/>
        </w:numPr>
      </w:pPr>
      <w:r>
        <w:t>6.1. the physiological effect of vitamin/mineral injection solution has on body anatomy, skin tissue and blood supply</w:t>
      </w:r>
    </w:p>
    <w:p>
      <w:pPr>
        <w:numPr>
          <w:ilvl w:val="0"/>
          <w:numId w:val="2"/>
        </w:numPr>
      </w:pPr>
      <w:r>
        <w:t>how to adapt injection techniques to place vitamin/mineral solution safely beneath the skin tissue into underlying structures to meet the individual's needs</w:t>
      </w:r>
    </w:p>
    <w:p>
      <w:pPr>
        <w:numPr>
          <w:ilvl w:val="0"/>
          <w:numId w:val="2"/>
        </w:numPr>
      </w:pPr>
      <w:r>
        <w:t>the adverse reactions associated with a vitamin/mineral injection procedure to include:</w:t>
      </w:r>
    </w:p>
    <w:p>
      <w:pPr>
        <w:numPr>
          <w:ilvl w:val="1"/>
          <w:numId w:val="2"/>
        </w:numPr>
      </w:pPr>
      <w:r>
        <w:t>8.1 knowledge and avoidance of danger zones</w:t>
      </w:r>
    </w:p>
    <w:p>
      <w:pPr>
        <w:numPr>
          <w:ilvl w:val="0"/>
          <w:numId w:val="2"/>
        </w:numPr>
      </w:pPr>
      <w:r>
        <w:t>how to implement the correct course of action in the event of an adverse reaction or incident to include:</w:t>
      </w:r>
    </w:p>
    <w:p>
      <w:pPr>
        <w:numPr>
          <w:ilvl w:val="1"/>
          <w:numId w:val="2"/>
        </w:numPr>
      </w:pPr>
      <w:r>
        <w:t>9.1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vitamin/mineral injection procedures in relation to:</w:t>
      </w:r>
    </w:p>
    <w:p>
      <w:pPr>
        <w:numPr>
          <w:ilvl w:val="1"/>
          <w:numId w:val="2"/>
        </w:numPr>
      </w:pPr>
      <w:r>
        <w:t>12.1 past and current medical history</w:t>
      </w:r>
    </w:p>
    <w:p>
      <w:pPr>
        <w:numPr>
          <w:ilvl w:val="1"/>
          <w:numId w:val="2"/>
        </w:numPr>
      </w:pPr>
      <w:r>
        <w:t>12.2 previous non-surgical cosmetic and/or dental procedure history</w:t>
      </w:r>
    </w:p>
    <w:p>
      <w:pPr>
        <w:numPr>
          <w:ilvl w:val="1"/>
          <w:numId w:val="2"/>
        </w:numPr>
      </w:pPr>
      <w:r>
        <w:t>12.3 relevant lifestyle factors</w:t>
      </w:r>
    </w:p>
    <w:p>
      <w:pPr>
        <w:numPr>
          <w:ilvl w:val="1"/>
          <w:numId w:val="2"/>
        </w:numPr>
      </w:pPr>
      <w:r>
        <w:t>12.4 contraindicated medication and medical conditions</w:t>
      </w:r>
    </w:p>
    <w:p>
      <w:pPr>
        <w:numPr>
          <w:ilvl w:val="1"/>
          <w:numId w:val="2"/>
        </w:numPr>
      </w:pPr>
      <w:r>
        <w:t>12.5 the individual's physical and psychological suitability for the non-surgical cosmetic procedure</w:t>
      </w:r>
    </w:p>
    <w:p>
      <w:pPr>
        <w:numPr>
          <w:ilvl w:val="1"/>
          <w:numId w:val="2"/>
        </w:numPr>
      </w:pPr>
      <w:r>
        <w:t>12.6 individual's expectations</w:t>
      </w:r>
    </w:p>
    <w:p>
      <w:pPr>
        <w:numPr>
          <w:ilvl w:val="1"/>
          <w:numId w:val="2"/>
        </w:numPr>
      </w:pPr>
      <w:r>
        <w:t>12.7 hyper-immune response management</w:t>
      </w:r>
    </w:p>
    <w:p>
      <w:pPr>
        <w:numPr>
          <w:ilvl w:val="1"/>
          <w:numId w:val="2"/>
        </w:numPr>
      </w:pPr>
      <w:r>
        <w:t>12.8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vitamin/mineral injection to include:</w:t>
      </w:r>
    </w:p>
    <w:p>
      <w:pPr>
        <w:numPr>
          <w:ilvl w:val="1"/>
          <w:numId w:val="2"/>
        </w:numPr>
      </w:pPr>
      <w:r>
        <w:t>14.1 product name</w:t>
      </w:r>
    </w:p>
    <w:p>
      <w:pPr>
        <w:numPr>
          <w:ilvl w:val="1"/>
          <w:numId w:val="2"/>
        </w:numPr>
      </w:pPr>
      <w:r>
        <w:t>14.2 batch number</w:t>
      </w:r>
    </w:p>
    <w:p>
      <w:pPr>
        <w:numPr>
          <w:ilvl w:val="1"/>
          <w:numId w:val="2"/>
        </w:numPr>
      </w:pPr>
      <w:r>
        <w:t>14.3 expiry date</w:t>
      </w:r>
    </w:p>
    <w:p>
      <w:pPr>
        <w:numPr>
          <w:ilvl w:val="1"/>
          <w:numId w:val="2"/>
        </w:numPr>
      </w:pPr>
      <w:r>
        <w:t>14.4 material data sheets</w:t>
      </w:r>
    </w:p>
    <w:p>
      <w:pPr>
        <w:numPr>
          <w:ilvl w:val="1"/>
          <w:numId w:val="2"/>
        </w:numPr>
      </w:pPr>
      <w:r>
        <w:t>14.5 storage</w:t>
      </w:r>
    </w:p>
    <w:p>
      <w:pPr>
        <w:numPr>
          <w:ilvl w:val="1"/>
          <w:numId w:val="2"/>
        </w:numPr>
      </w:pPr>
      <w:r>
        <w:t>14.6 disposal</w:t>
      </w:r>
    </w:p>
    <w:p>
      <w:pPr>
        <w:numPr>
          <w:ilvl w:val="1"/>
          <w:numId w:val="2"/>
        </w:numPr>
      </w:pPr>
      <w:r>
        <w:t>14.7 audit and accountability</w:t>
      </w:r>
    </w:p>
    <w:p>
      <w:pPr>
        <w:numPr>
          <w:ilvl w:val="1"/>
          <w:numId w:val="2"/>
        </w:numPr>
      </w:pPr>
      <w:r>
        <w:t>14.8 injection site</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vitamin/mineral injection procedure</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fee structures and treatment options</w:t>
      </w:r>
    </w:p>
    <w:p>
      <w:pPr>
        <w:numPr>
          <w:ilvl w:val="0"/>
          <w:numId w:val="2"/>
        </w:numPr>
      </w:pPr>
      <w:r>
        <w:t>the legislative and indemnity requirements of gaining signed, informed consent for the vitamin/mineral injection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informed consent for the vitamin/mineral injection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w:t>
      </w:r>
    </w:p>
    <w:p>
      <w:pPr>
        <w:numPr>
          <w:ilvl w:val="0"/>
          <w:numId w:val="2"/>
        </w:numPr>
      </w:pPr>
      <w:r>
        <w:t>vitamin/mineral injection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w:t>
      </w:r>
    </w:p>
    <w:p>
      <w:pPr>
        <w:numPr>
          <w:ilvl w:val="0"/>
          <w:numId w:val="2"/>
        </w:numPr>
      </w:pPr>
      <w:r>
        <w:t>adverse reaction</w:t>
      </w:r>
    </w:p>
    <w:p>
      <w:pPr>
        <w:numPr>
          <w:ilvl w:val="0"/>
          <w:numId w:val="2"/>
        </w:numPr>
      </w:pPr>
      <w:r>
        <w:t>the legislative, insurance and organisational requirements for taking and storing visual media of the individual's treatment area</w:t>
      </w:r>
    </w:p>
    <w:p>
      <w:pPr>
        <w:numPr>
          <w:ilvl w:val="0"/>
          <w:numId w:val="2"/>
        </w:numPr>
      </w:pPr>
      <w:r>
        <w:t>the expected outcomes from a vitamin/mineral injection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vitamin/mineral injection procedure</w:t>
      </w:r>
    </w:p>
    <w:p>
      <w:pPr>
        <w:numPr>
          <w:ilvl w:val="0"/>
          <w:numId w:val="2"/>
        </w:numPr>
      </w:pPr>
      <w:r>
        <w:t>the instructions and advice pre and post the vitamin/mineral injection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Injection techniques</w:t>
      </w:r>
    </w:p>
    <w:p>
      <w:pPr>
        <w:numPr>
          <w:ilvl w:val="0"/>
          <w:numId w:val="4"/>
        </w:numPr>
      </w:pPr>
      <w:r>
        <w:t>intramuscular</w:t>
      </w:r>
    </w:p>
    <w:p>
      <w:pPr>
        <w:numPr>
          <w:ilvl w:val="0"/>
          <w:numId w:val="4"/>
        </w:numPr>
      </w:pPr>
      <w:r>
        <w:t>subcutaneous</w:t>
      </w:r>
    </w:p>
    <w:p>
      <w:pPr>
        <w:numPr>
          <w:ilvl w:val="0"/>
          <w:numId w:val="4"/>
        </w:numPr>
      </w:pPr>
      <w:r>
        <w:t>Z-track</w:t>
      </w:r>
    </w:p>
    <w:p>
      <w:pPr/>
      <w:r>
        <w:rPr>
          <w:lang w:val="en-GB"/>
        </w:rPr>
        <w:br/>
      </w:r>
    </w:p>
    <w:p>
      <w:pPr/>
      <w:r>
        <w:rPr>
          <w:lang w:val="en-GB"/>
        </w:rPr>
        <w:t>Anatomy and physiology</w:t>
      </w:r>
    </w:p>
    <w:p>
      <w:pPr>
        <w:numPr>
          <w:ilvl w:val="0"/>
          <w:numId w:val="5"/>
        </w:numPr>
      </w:pPr>
      <w:r>
        <w:t>the structure and function of the body systems and their interdependence on each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 and sciences</w:t>
      </w:r>
    </w:p>
    <w:p>
      <w:pPr>
        <w:numPr>
          <w:ilvl w:val="0"/>
          <w:numId w:val="5"/>
        </w:numPr>
      </w:pPr>
      <w:r>
        <w:t>effects of medications have on the skin</w:t>
      </w:r>
    </w:p>
    <w:p>
      <w:pPr>
        <w:numPr>
          <w:ilvl w:val="0"/>
          <w:numId w:val="5"/>
        </w:numPr>
      </w:pPr>
      <w:r>
        <w:t>study of the ageing process of the skin and underlying tissues/ effects of bone reabsorption and understanding of complex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nerve damage</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Vitamin overdose</w:t>
      </w:r>
    </w:p>
    <w:p>
      <w:pPr>
        <w:numPr>
          <w:ilvl w:val="0"/>
          <w:numId w:val="6"/>
        </w:numPr>
      </w:pPr>
      <w:r>
        <w:t>Digestive upset</w:t>
      </w:r>
    </w:p>
    <w:p>
      <w:pPr>
        <w:numPr>
          <w:ilvl w:val="0"/>
          <w:numId w:val="6"/>
        </w:numPr>
      </w:pPr>
      <w:r>
        <w:t>Fainting</w:t>
      </w:r>
    </w:p>
    <w:p>
      <w:pPr>
        <w:numPr>
          <w:ilvl w:val="0"/>
          <w:numId w:val="6"/>
        </w:numPr>
      </w:pPr>
      <w:r>
        <w:t>Dizziness</w:t>
      </w:r>
    </w:p>
    <w:p>
      <w:pPr>
        <w:numPr>
          <w:ilvl w:val="0"/>
          <w:numId w:val="6"/>
        </w:numPr>
      </w:pPr>
      <w:r>
        <w:t>hypersensitivity</w:t>
      </w:r>
    </w:p>
    <w:p>
      <w:pPr/>
      <w:r>
        <w:rPr>
          <w:lang w:val="en-GB"/>
        </w:rPr>
        <w:br/>
      </w:r>
    </w:p>
    <w:p>
      <w:pPr/>
      <w:r>
        <w:rPr>
          <w:lang w:val="en-GB"/>
        </w:rPr>
        <w:t>Risk avoidance strategies</w:t>
      </w:r>
    </w:p>
    <w:p>
      <w:pPr>
        <w:numPr>
          <w:ilvl w:val="0"/>
          <w:numId w:val="7"/>
        </w:numPr>
      </w:pPr>
      <w:r>
        <w:t>emergency plan</w:t>
      </w:r>
    </w:p>
    <w:p>
      <w:pPr>
        <w:numPr>
          <w:ilvl w:val="0"/>
          <w:numId w:val="7"/>
        </w:numPr>
      </w:pPr>
      <w:r>
        <w:t>risk assessment(s)</w:t>
      </w:r>
    </w:p>
    <w:p>
      <w:pPr>
        <w:numPr>
          <w:ilvl w:val="0"/>
          <w:numId w:val="7"/>
        </w:numPr>
      </w:pPr>
      <w:r>
        <w:t>acquired medical history</w:t>
      </w:r>
    </w:p>
    <w:p>
      <w:pPr>
        <w:numPr>
          <w:ilvl w:val="0"/>
          <w:numId w:val="7"/>
        </w:numPr>
      </w:pPr>
      <w:r>
        <w:t>procedure plan(s)</w:t>
      </w:r>
    </w:p>
    <w:p>
      <w:pPr>
        <w:numPr>
          <w:ilvl w:val="0"/>
          <w:numId w:val="7"/>
        </w:numPr>
      </w:pPr>
      <w:r>
        <w:t>restrictive treatment areas</w:t>
      </w:r>
    </w:p>
    <w:p>
      <w:pPr>
        <w:numPr>
          <w:ilvl w:val="0"/>
          <w:numId w:val="7"/>
        </w:numPr>
      </w:pPr>
      <w:r>
        <w:t>pre and post instructions and advice</w:t>
      </w:r>
    </w:p>
    <w:p>
      <w:pPr>
        <w:numPr>
          <w:ilvl w:val="0"/>
          <w:numId w:val="7"/>
        </w:numPr>
      </w:pPr>
      <w:r>
        <w:t>avoidance of off license use</w:t>
      </w:r>
    </w:p>
    <w:p>
      <w:pPr>
        <w:numPr>
          <w:ilvl w:val="0"/>
          <w:numId w:val="7"/>
        </w:numPr>
      </w:pPr>
      <w:r>
        <w:t>inoculations</w:t>
      </w:r>
    </w:p>
    <w:p>
      <w:pPr>
        <w:numPr>
          <w:ilvl w:val="0"/>
          <w:numId w:val="7"/>
        </w:numPr>
      </w:pPr>
      <w:r>
        <w:t>first aid at work qualification and basic life support or equivalent</w:t>
      </w:r>
    </w:p>
    <w:p>
      <w:pPr>
        <w:numPr>
          <w:ilvl w:val="0"/>
          <w:numId w:val="7"/>
        </w:numPr>
      </w:pPr>
      <w:r>
        <w:t>general health and safety working practices</w:t>
      </w:r>
    </w:p>
    <w:p>
      <w:pPr>
        <w:numPr>
          <w:ilvl w:val="0"/>
          <w:numId w:val="7"/>
        </w:numPr>
      </w:pPr>
      <w:r>
        <w:t>infection prevention and control</w:t>
      </w:r>
    </w:p>
    <w:p>
      <w:pPr>
        <w:numPr>
          <w:ilvl w:val="0"/>
          <w:numId w:val="7"/>
        </w:numPr>
      </w:pPr>
      <w:r>
        <w:t>working environment</w:t>
      </w:r>
    </w:p>
    <w:p>
      <w:pPr>
        <w:numPr>
          <w:ilvl w:val="0"/>
          <w:numId w:val="7"/>
        </w:numPr>
      </w:pPr>
      <w:r>
        <w:t>collaboration with healthcare professional/regulated independent</w:t>
      </w:r>
    </w:p>
    <w:p>
      <w:pPr>
        <w:numPr>
          <w:ilvl w:val="0"/>
          <w:numId w:val="7"/>
        </w:numPr>
      </w:pPr>
      <w:r>
        <w:t>
</w:t>
      </w:r>
    </w:p>
    <w:p>
      <w:pPr>
        <w:numPr>
          <w:ilvl w:val="0"/>
          <w:numId w:val="7"/>
        </w:numPr>
      </w:pPr>
      <w:r>
        <w:t> prescriber/appropriate professionals</w:t>
      </w:r>
    </w:p>
    <w:p>
      <w:pPr>
        <w:numPr>
          <w:ilvl w:val="0"/>
          <w:numId w:val="7"/>
        </w:numPr>
      </w:pPr>
      <w:r>
        <w:t>legislative prescription protocol</w:t>
      </w:r>
    </w:p>
    <w:p>
      <w:pPr>
        <w:numPr>
          <w:ilvl w:val="0"/>
          <w:numId w:val="7"/>
        </w:numPr>
      </w:pPr>
      <w:r>
        <w:t>medicine management</w:t>
      </w:r>
    </w:p>
    <w:p>
      <w:pPr>
        <w:numPr>
          <w:ilvl w:val="0"/>
          <w:numId w:val="7"/>
        </w:numPr>
      </w:pPr>
      <w:r>
        <w:t>informed consent</w:t>
      </w:r>
    </w:p>
    <w:p>
      <w:pPr>
        <w:numPr>
          <w:ilvl w:val="0"/>
          <w:numId w:val="7"/>
        </w:numPr>
      </w:pPr>
      <w:r>
        <w:t>data management</w:t>
      </w:r>
    </w:p>
    <w:p>
      <w:pPr>
        <w:numPr>
          <w:ilvl w:val="0"/>
          <w:numId w:val="7"/>
        </w:numPr>
      </w:pPr>
      <w:r>
        <w:t>audit and accountability</w:t>
      </w:r>
    </w:p>
    <w:p>
      <w:pPr>
        <w:numPr>
          <w:ilvl w:val="0"/>
          <w:numId w:val="7"/>
        </w:numPr>
      </w:pPr>
      <w:r>
        <w:t>understanding of the pharmacology</w:t>
      </w:r>
    </w:p>
    <w:p>
      <w:pPr>
        <w:numPr>
          <w:ilvl w:val="0"/>
          <w:numId w:val="7"/>
        </w:numPr>
      </w:pPr>
      <w:r>
        <w:t>waste management</w:t>
      </w:r>
    </w:p>
    <w:p>
      <w:pPr>
        <w:numPr>
          <w:ilvl w:val="0"/>
          <w:numId w:val="7"/>
        </w:numPr>
      </w:pPr>
      <w:r>
        <w:t>assessment of the individual's physical and emotional suitability</w:t>
      </w:r>
    </w:p>
    <w:p>
      <w:pPr/>
      <w:r>
        <w:rPr>
          <w:lang w:val="en-GB"/>
        </w:rPr>
        <w:br/>
      </w:r>
    </w:p>
    <w:p>
      <w:pPr/>
      <w:r>
        <w:rPr>
          <w:lang w:val="en-GB"/>
        </w:rPr>
        <w:t>Vitamin and mineral injection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professional/regulated independent prescriber</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br/>
      </w:r>
    </w:p>
    <w:p>
      <w:pPr/>
      <w:r>
        <w:rPr>
          <w:lang w:val="en-GB"/>
        </w:rPr>
        <w:t xml:space="preserve">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SKANSC19</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wellbeing, wellness, vitamins, intravenous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52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E1170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EE3B1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FD448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58C40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3A7BD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5EE5A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5267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57ABA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5581eb92fa42ed" /><Relationship Type="http://schemas.openxmlformats.org/officeDocument/2006/relationships/numbering" Target="/word/numbering.xml" Id="Re890e93183d14156" /><Relationship Type="http://schemas.openxmlformats.org/officeDocument/2006/relationships/settings" Target="/word/settings.xml" Id="R1a1a536089cc4400" /><Relationship Type="http://schemas.openxmlformats.org/officeDocument/2006/relationships/image" Target="/word/media/1f540a61-2fba-4447-bf39-64ce4a55795c.png" Id="Reb98559ae5f649eb" /></Relationships>
</file>