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1b2446968644f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SFHPHARM31</w:t>
            </w:r>
            <w:r>
              <w:rPr>
                <w:b/>
              </w:rPr>
              <w:br/>
            </w:r>
            <w:r>
              <w:rPr>
                <w:b/>
              </w:rPr>
              <w:t>Confirm the suitability of an individual's medicines for use and ensure sufficient supply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dcf4d19a1874ed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confirming the suitability of an individual's medicines for use. This involves checking that the medicines match what is currently prescribed for the individual. It also includes ensuring the individual has sufficient supply of medicines, the identification of any discrepancies and dealing with any problems appropriately. The standard can be applied in a variety of settings.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obtain valid consent from the individual or their carer for use, removal or destruction of the individual's own medicines if they are not appropriate for use</w:t>
      </w:r>
    </w:p>
    <w:p>
      <w:pPr>
        <w:numPr>
          <w:ilvl w:val="0"/>
          <w:numId w:val="1"/>
        </w:numPr>
      </w:pPr>
      <w:r>
        <w:t>explain the purpose of checking the individual's own medicines and answer any questions related to the process</w:t>
      </w:r>
    </w:p>
    <w:p>
      <w:pPr>
        <w:numPr>
          <w:ilvl w:val="0"/>
          <w:numId w:val="1"/>
        </w:numPr>
      </w:pPr>
      <w:r>
        <w:t>obtain appropriate information about the individual's medicines</w:t>
      </w:r>
    </w:p>
    <w:p>
      <w:pPr>
        <w:numPr>
          <w:ilvl w:val="0"/>
          <w:numId w:val="1"/>
        </w:numPr>
      </w:pPr>
      <w:r>
        <w:t>assess the individual's own medicines to ensure they are suitable for continued use, have an adequate supply and complete appropriate documentation.</w:t>
      </w:r>
    </w:p>
    <w:p>
      <w:pPr>
        <w:numPr>
          <w:ilvl w:val="0"/>
          <w:numId w:val="1"/>
        </w:numPr>
      </w:pPr>
      <w:r>
        <w:t>identify any discrepancies between the individual's own medicines and prescribed items</w:t>
      </w:r>
    </w:p>
    <w:p>
      <w:pPr>
        <w:numPr>
          <w:ilvl w:val="0"/>
          <w:numId w:val="1"/>
        </w:numPr>
      </w:pPr>
      <w:r>
        <w:t>record and report any discrepancies and other issues identified to an appropriate person</w:t>
      </w:r>
    </w:p>
    <w:p>
      <w:pPr>
        <w:numPr>
          <w:ilvl w:val="0"/>
          <w:numId w:val="1"/>
        </w:numPr>
      </w:pPr>
      <w:r>
        <w:t>arrange for medicines to be re-labelled or re-ordered where appropriate</w:t>
      </w:r>
    </w:p>
    <w:p>
      <w:pPr>
        <w:numPr>
          <w:ilvl w:val="0"/>
          <w:numId w:val="1"/>
        </w:numPr>
      </w:pPr>
      <w:r>
        <w:t>arrange for medicines not appropriate for use to be removed and/ or destroyed and recorded in accordance with Standard Operating Procedures</w:t>
      </w:r>
    </w:p>
    <w:p>
      <w:pPr>
        <w:numPr>
          <w:ilvl w:val="0"/>
          <w:numId w:val="1"/>
        </w:numPr>
      </w:pPr>
      <w:r>
        <w:t>arrange for any new medicines required to be ordered in accordance with Standard Operating Procedures</w:t>
      </w:r>
    </w:p>
    <w:p>
      <w:pPr>
        <w:numPr>
          <w:ilvl w:val="0"/>
          <w:numId w:val="1"/>
        </w:numPr>
      </w:pPr>
      <w:r>
        <w:t>complete all relevant documentation and store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methods of enabling effective communication and supporting individuals to communicate their needs, views and preferences</w:t>
      </w:r>
    </w:p>
    <w:p>
      <w:pPr>
        <w:numPr>
          <w:ilvl w:val="0"/>
          <w:numId w:val="2"/>
        </w:numPr>
      </w:pPr>
      <w:r>
        <w:t>the importance of involving individuals in discussion and how this can be achieved</w:t>
      </w:r>
    </w:p>
    <w:p>
      <w:pPr>
        <w:numPr>
          <w:ilvl w:val="0"/>
          <w:numId w:val="2"/>
        </w:numPr>
      </w:pPr>
      <w:r>
        <w:t>the purpose of confirming the suitability of an individual's own medicines against Standard Operating Procedures</w:t>
      </w:r>
    </w:p>
    <w:p>
      <w:pPr>
        <w:numPr>
          <w:ilvl w:val="0"/>
          <w:numId w:val="2"/>
        </w:numPr>
      </w:pPr>
      <w:r>
        <w:t>the documentation required for recording information following assessment of medicines</w:t>
      </w:r>
    </w:p>
    <w:p>
      <w:pPr>
        <w:numPr>
          <w:ilvl w:val="0"/>
          <w:numId w:val="2"/>
        </w:numPr>
      </w:pPr>
      <w:r>
        <w:t>the prescribing conventions, abbreviations and medical terminology</w:t>
      </w:r>
    </w:p>
    <w:p>
      <w:pPr>
        <w:numPr>
          <w:ilvl w:val="0"/>
          <w:numId w:val="2"/>
        </w:numPr>
      </w:pPr>
      <w:r>
        <w:t>the different formulations of medicines</w:t>
      </w:r>
    </w:p>
    <w:p>
      <w:pPr>
        <w:numPr>
          <w:ilvl w:val="0"/>
          <w:numId w:val="2"/>
        </w:numPr>
      </w:pPr>
      <w:r>
        <w:t>the factors which affect the security and storage of medication including expiry dates</w:t>
      </w:r>
    </w:p>
    <w:p>
      <w:pPr>
        <w:numPr>
          <w:ilvl w:val="0"/>
          <w:numId w:val="2"/>
        </w:numPr>
      </w:pPr>
      <w:r>
        <w:t>factors that may affect how medicines are taken</w:t>
      </w:r>
    </w:p>
    <w:p>
      <w:pPr>
        <w:numPr>
          <w:ilvl w:val="0"/>
          <w:numId w:val="2"/>
        </w:numPr>
      </w:pPr>
      <w:r>
        <w:t>the psychological, occupational and social aspects and implications for individuals living with conditions</w:t>
      </w:r>
    </w:p>
    <w:p>
      <w:pPr>
        <w:numPr>
          <w:ilvl w:val="0"/>
          <w:numId w:val="2"/>
        </w:numPr>
      </w:pPr>
      <w:r>
        <w:t>the labelling requirements for medicines</w:t>
      </w:r>
    </w:p>
    <w:p>
      <w:pPr>
        <w:numPr>
          <w:ilvl w:val="0"/>
          <w:numId w:val="2"/>
        </w:numPr>
      </w:pPr>
      <w:r>
        <w:t>legislation surrounding medicines not licensed in the UK within your scope of practice</w:t>
      </w:r>
    </w:p>
    <w:p>
      <w:pPr>
        <w:numPr>
          <w:ilvl w:val="0"/>
          <w:numId w:val="2"/>
        </w:numPr>
      </w:pPr>
      <w:r>
        <w:t>the use of compliance aids</w:t>
      </w:r>
    </w:p>
    <w:p>
      <w:pPr>
        <w:numPr>
          <w:ilvl w:val="0"/>
          <w:numId w:val="2"/>
        </w:numPr>
      </w:pPr>
      <w:r>
        <w:t>the regulations related to the destruction of medicines </w:t>
      </w:r>
    </w:p>
    <w:p>
      <w:pPr>
        <w:numPr>
          <w:ilvl w:val="0"/>
          <w:numId w:val="2"/>
        </w:numPr>
      </w:pPr>
      <w:r>
        <w:t>legislation and organisational processes relating to obtaining valid consent</w:t>
      </w:r>
    </w:p>
    <w:p>
      <w:pPr>
        <w:numPr>
          <w:ilvl w:val="0"/>
          <w:numId w:val="2"/>
        </w:numPr>
      </w:pPr>
      <w:r>
        <w:t>the actions to take if valid consent is not obtained</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2023</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SFHPHARM31</w:t>
      </w:r>
      <w:r>
        <w:rPr>
          <w:lang w:val="en-GB"/>
        </w:rPr>
        <w:br/>
      </w:r>
    </w:p>
    <w:p>
      <w:pPr/>
      <w:r>
        <w:rPr>
          <w:lang w:val="en-GB"/>
          <w:b/>
        </w:rPr>
        <w:t>Relevant Occupations</w:t>
      </w:r>
    </w:p>
    <w:p>
      <w:pPr/>
      <w:r>
        <w:rPr>
          <w:lang w:val="en-GB"/>
        </w:rPr>
        <w:t>Health, Public Services and Care, Healthcare and Related Personal Services, Medicine and Dentistry, Nursing and Subjects and Vocations Allied to Medicine</w:t>
      </w:r>
      <w:r>
        <w:rPr>
          <w:lang w:val="en-GB"/>
        </w:rPr>
        <w:br/>
      </w:r>
    </w:p>
    <w:p>
      <w:pPr/>
      <w:r>
        <w:rPr>
          <w:lang w:val="en-GB"/>
          <w:b/>
        </w:rPr>
        <w:t>Suite</w:t>
      </w:r>
    </w:p>
    <w:p>
      <w:pPr/>
      <w:r>
        <w:rPr>
          <w:lang w:val="en-GB"/>
        </w:rPr>
        <w:t>Pharmacy Services</w:t>
      </w:r>
      <w:r>
        <w:rPr>
          <w:lang w:val="en-GB"/>
        </w:rPr>
        <w:br/>
      </w:r>
    </w:p>
    <w:p>
      <w:pPr/>
      <w:r>
        <w:rPr>
          <w:lang w:val="en-GB"/>
          <w:b/>
        </w:rPr>
        <w:t>Keywords</w:t>
      </w:r>
    </w:p>
    <w:p>
      <w:pPr/>
      <w:r>
        <w:rPr>
          <w:lang w:val="en-GB"/>
        </w:rPr>
        <w:t>assessment; checking; medication; checks; supply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AC3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FBCCB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978528f2d84642" /><Relationship Type="http://schemas.openxmlformats.org/officeDocument/2006/relationships/numbering" Target="/word/numbering.xml" Id="Rf3dccbf98619456b" /><Relationship Type="http://schemas.openxmlformats.org/officeDocument/2006/relationships/settings" Target="/word/settings.xml" Id="Re15dc55c15b44bc0" /><Relationship Type="http://schemas.openxmlformats.org/officeDocument/2006/relationships/image" Target="/word/media/0762537d-5d51-421f-bece-31a32f90af81.png" Id="R1dcf4d19a1874ed6" /></Relationships>
</file>