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a7967fc0954ea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COSBEDPO14</w:t>
            </w:r>
            <w:r>
              <w:rPr>
                <w:b/>
              </w:rPr>
              <w:br/>
            </w:r>
            <w:r>
              <w:rPr>
                <w:b/>
              </w:rPr>
              <w:t>Practice within an ethical and value framework in design service organisations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bee9419567c4b3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c63120209d741b2" /><Relationship Type="http://schemas.openxmlformats.org/officeDocument/2006/relationships/numbering" Target="/word/numbering.xml" Id="Raaabb2e85e26410b" /><Relationship Type="http://schemas.openxmlformats.org/officeDocument/2006/relationships/settings" Target="/word/settings.xml" Id="Rd1b9f4dda3d3409c" /><Relationship Type="http://schemas.openxmlformats.org/officeDocument/2006/relationships/image" Target="/word/media/4f44996c-6997-4a71-813c-c0b5fbee30e1.png" Id="Rcbee9419567c4b3f" /></Relationships>
</file>