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19c87b728b45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SCDCPC429</w:t>
            </w:r>
            <w:r>
              <w:rPr>
                <w:b/>
              </w:rPr>
              <w:br/>
            </w:r>
            <w:r>
              <w:rPr>
                <w:b/>
              </w:rPr>
              <w:t>Contribute to and influence policy and strategy development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c9829c4182d42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401b211c4284848" /><Relationship Type="http://schemas.openxmlformats.org/officeDocument/2006/relationships/numbering" Target="/word/numbering.xml" Id="Rcd4cd96bfc8d426d" /><Relationship Type="http://schemas.openxmlformats.org/officeDocument/2006/relationships/settings" Target="/word/settings.xml" Id="R99f1ba99eb5e466d" /><Relationship Type="http://schemas.openxmlformats.org/officeDocument/2006/relationships/image" Target="/word/media/7a1427e8-c4b4-48db-87d8-6681483fd5fe.png" Id="Rcc9829c4182d4230" /></Relationships>
</file>