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0a3e6e9dff49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SKSLC16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Comply with broadcast regulation on sponsorship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d8ccbcb25a4a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c32be0c4e94afc" /><Relationship Type="http://schemas.openxmlformats.org/officeDocument/2006/relationships/numbering" Target="/word/numbering.xml" Id="R0826736f95b442ef" /><Relationship Type="http://schemas.openxmlformats.org/officeDocument/2006/relationships/settings" Target="/word/settings.xml" Id="Rc094b0ddee0f4a32" /><Relationship Type="http://schemas.openxmlformats.org/officeDocument/2006/relationships/image" Target="/word/media/e64bfaab-8780-43d1-9a51-936fc7257eb3.png" Id="R90d8ccbcb25a4a24" /></Relationships>
</file>