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cbcb7a832146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PPLRPTO06</w:t>
            </w:r>
            <w:r>
              <w:rPr>
                <w:b/>
              </w:rPr>
              <w:br/>
            </w:r>
            <w:r>
              <w:rPr>
                <w:b/>
              </w:rPr>
              <w:t>Manage operator risks and liabilities in road passenger transport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9f0963e5d5043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e4581d7d93474b" /><Relationship Type="http://schemas.openxmlformats.org/officeDocument/2006/relationships/numbering" Target="/word/numbering.xml" Id="R1093a4a16fa047cb" /><Relationship Type="http://schemas.openxmlformats.org/officeDocument/2006/relationships/settings" Target="/word/settings.xml" Id="R81bf55031cae4e41" /><Relationship Type="http://schemas.openxmlformats.org/officeDocument/2006/relationships/image" Target="/word/media/b2446f28-d6bb-4cd1-910b-2da5476026a6.png" Id="Rc9f0963e5d504316" /></Relationships>
</file>