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124696a2fd409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PPLRS45</w:t>
            </w:r>
            <w:r>
              <w:rPr>
                <w:b/>
              </w:rPr>
              <w:br/>
            </w:r>
            <w:r>
              <w:rPr>
                <w:b/>
              </w:rPr>
              <w:t>Manage conflict in the rail industry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890f73559a843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df54b88a7e45b2" /><Relationship Type="http://schemas.openxmlformats.org/officeDocument/2006/relationships/numbering" Target="/word/numbering.xml" Id="R5539f3d779c44ba3" /><Relationship Type="http://schemas.openxmlformats.org/officeDocument/2006/relationships/settings" Target="/word/settings.xml" Id="Rf7547d79a8f44f45" /><Relationship Type="http://schemas.openxmlformats.org/officeDocument/2006/relationships/image" Target="/word/media/221938a0-d9e9-408a-b531-88327761b618.png" Id="Rb890f73559a84350" /></Relationships>
</file>