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c22fb23ac4c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SKSP39</w:t>
            </w:r>
            <w:r>
              <w:rPr>
                <w:b/>
              </w:rPr>
              <w:br/>
            </w:r>
            <w:r>
              <w:rPr>
                <w:b/>
              </w:rPr>
              <w:t>Prepare financial resourcing projections for film or television productions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4e7b0fdc7b4a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procedures behind preparing the initial financial resourcing requirements for a production at pre-production stage. You will need to draw up a realistic projected finance plan taking into account the needs and desires of the creative team.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need to know how to budget a production, and be aware that an initial budget may have cuts enforced upon it. The Finance Plan will need to reflect who is responsible for which areas of cash-flow and which areas are to be met by specific sources of investment. Financial resources could be for development funding and/or funding for some or all of the production depending on the circumstances and constraints in place.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involved in production financing.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SKSP39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Production manager, Production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(Film and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Television, Film, Production, Finance, Projections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20f1e128b6456c" /><Relationship Type="http://schemas.openxmlformats.org/officeDocument/2006/relationships/numbering" Target="/word/numbering.xml" Id="Rca8f8075a4f440d9" /><Relationship Type="http://schemas.openxmlformats.org/officeDocument/2006/relationships/settings" Target="/word/settings.xml" Id="R2f42cc35b6864ee4" /><Relationship Type="http://schemas.openxmlformats.org/officeDocument/2006/relationships/image" Target="/word/media/61ae2ff7-6d1e-4780-bd46-bb6f4fe29ee4.png" Id="Re44e7b0fdc7b4acd" /></Relationships>
</file>