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dbd9baf02641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SKSJ27</w:t>
            </w:r>
            <w:r>
              <w:rPr>
                <w:b/>
              </w:rPr>
              <w:br/>
            </w:r>
            <w:r>
              <w:rPr>
                <w:b/>
              </w:rPr>
              <w:t>Work in challenging or hostile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b38ee32af84d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journalists working in challenging or dangerous environments, and those which have the potential to become so.</w:t>
      </w:r>
    </w:p>
    <w:p>
      <w:pPr/>
      <w:r>
        <w:rPr>
          <w:lang w:val="en-GB"/>
        </w:rPr>
        <w:br/>
      </w:r>
    </w:p>
    <w:p>
      <w:pPr/>
      <w:r>
        <w:rPr>
          <w:lang w:val="en-GB"/>
        </w:rPr>
        <w:t>This includes a variety of situations where there is a heightened risk to personal safety or emotional well-being, such as: war zones, terrorist incidents, demonstrations, scenes of transport crashes, extreme weather events or industrial accidents. </w:t>
      </w:r>
    </w:p>
    <w:p>
      <w:pPr/>
      <w:r>
        <w:rPr>
          <w:lang w:val="en-GB"/>
        </w:rPr>
        <w:br/>
      </w:r>
    </w:p>
    <w:p>
      <w:pPr/>
      <w:r>
        <w:rPr>
          <w:lang w:val="en-GB"/>
        </w:rPr>
        <w:t>This Standard is about preparing yourself for reporting from the challenging or hostile environment by making an assessment of the risks you are likely to encounter, including ensuring that you have received any necessary training. You will need to understand the reasons for your visit to the hostile environment, and how to maintain your own wellbeing whilst you are there.</w:t>
      </w:r>
    </w:p>
    <w:p>
      <w:pPr/>
      <w:r>
        <w:rPr>
          <w:lang w:val="en-GB"/>
        </w:rPr>
        <w:br/>
      </w:r>
    </w:p>
    <w:p>
      <w:pPr/>
      <w:r>
        <w:rPr>
          <w:lang w:val="en-GB"/>
        </w:rPr>
        <w:t>This Standard is for journalists working in challenging or hostile environments.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578bc62fc5f4c6c" /><Relationship Type="http://schemas.openxmlformats.org/officeDocument/2006/relationships/numbering" Target="/word/numbering.xml" Id="R3a3937d0eb7648e5" /><Relationship Type="http://schemas.openxmlformats.org/officeDocument/2006/relationships/settings" Target="/word/settings.xml" Id="R9fe90048dc7245f6" /><Relationship Type="http://schemas.openxmlformats.org/officeDocument/2006/relationships/image" Target="/word/media/5518426c-af9f-4923-9215-6b2050c99b62.png" Id="Rcab38ee32af84d13" /></Relationships>
</file>