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a3eb95ea6bd4ac9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SFLGDP7</w:t>
            </w:r>
            <w:r>
              <w:rPr>
                <w:b/>
              </w:rPr>
              <w:br/>
            </w:r>
            <w:r>
              <w:rPr>
                <w:b/>
              </w:rPr>
              <w:t>Select and dispatch medicinal products to comply with the requirements of Good Distribution Practice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d54019c76b39416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2ee8ad433b904811" /><Relationship Type="http://schemas.openxmlformats.org/officeDocument/2006/relationships/numbering" Target="/word/numbering.xml" Id="Rf26d56f9bb494fb7" /><Relationship Type="http://schemas.openxmlformats.org/officeDocument/2006/relationships/settings" Target="/word/settings.xml" Id="R84cdb752feec441b" /><Relationship Type="http://schemas.openxmlformats.org/officeDocument/2006/relationships/image" Target="/word/media/5902b462-a9b7-4f90-a9d7-7af8d221ad8a.png" Id="Rd54019c76b394165" /></Relationships>
</file>