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1e09b2e34a42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IMPFS120SL</w:t>
            </w:r>
            <w:r>
              <w:rPr>
                <w:b/>
              </w:rPr>
              <w:br/>
            </w:r>
            <w:r>
              <w:rPr>
                <w:b/>
              </w:rPr>
              <w:t>Control and monitor safe supply of raw materials and ingredients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e26c89fe6743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a3657e47194d7b" /><Relationship Type="http://schemas.openxmlformats.org/officeDocument/2006/relationships/numbering" Target="/word/numbering.xml" Id="Rc18f21f659734804" /><Relationship Type="http://schemas.openxmlformats.org/officeDocument/2006/relationships/settings" Target="/word/settings.xml" Id="R5dab138a072040eb" /><Relationship Type="http://schemas.openxmlformats.org/officeDocument/2006/relationships/image" Target="/word/media/fa974b95-f043-45f8-9af1-17ae74b5a76b.png" Id="Rdae26c89fe67436f" /></Relationships>
</file>