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c33e416b944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SFHHCS16</w:t>
            </w:r>
            <w:r>
              <w:rPr>
                <w:b/>
              </w:rPr>
              <w:br/>
            </w:r>
            <w:r>
              <w:rPr>
                <w:b/>
              </w:rPr>
              <w:t>Reconstruct the deceased following pathological examination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8d258d0c5c4c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cb4b65b9764d03" /><Relationship Type="http://schemas.openxmlformats.org/officeDocument/2006/relationships/numbering" Target="/word/numbering.xml" Id="R0a748b8385834a9b" /><Relationship Type="http://schemas.openxmlformats.org/officeDocument/2006/relationships/settings" Target="/word/settings.xml" Id="R59110b0df48e4954" /><Relationship Type="http://schemas.openxmlformats.org/officeDocument/2006/relationships/image" Target="/word/media/e6d87d5d-1c18-4e65-92c3-5eae643c63a8.png" Id="R298d258d0c5c4c38" /></Relationships>
</file>