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42744cfd924b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SFHPHS03</w:t>
            </w:r>
            <w:r>
              <w:rPr>
                <w:b/>
              </w:rPr>
              <w:br/>
            </w:r>
            <w:r>
              <w:rPr>
                <w:b/>
              </w:rPr>
              <w:t>Plan, implement, monitor and evaluate strategies for promoting the health and wellbeing of the population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7ee38e2d7444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a03c471c0241fc" /><Relationship Type="http://schemas.openxmlformats.org/officeDocument/2006/relationships/numbering" Target="/word/numbering.xml" Id="Rdf5e20e4962e4124" /><Relationship Type="http://schemas.openxmlformats.org/officeDocument/2006/relationships/settings" Target="/word/settings.xml" Id="R35c6818916924cc9" /><Relationship Type="http://schemas.openxmlformats.org/officeDocument/2006/relationships/image" Target="/word/media/d0cc1754-02eb-46ce-a123-96b5a425fdb8.png" Id="R2e7ee38e2d7444f7" /></Relationships>
</file>