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d22e7e948d489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SSR.E306</w:t>
            </w:r>
            <w:r>
              <w:rPr>
                <w:b/>
              </w:rPr>
              <w:br/>
            </w:r>
            <w:r>
              <w:rPr>
                <w:b/>
              </w:rPr>
              <w:t>Assess and control risks to health and safety in a retail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3a3de24d754b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3b8ed8b6974e55" /><Relationship Type="http://schemas.openxmlformats.org/officeDocument/2006/relationships/numbering" Target="/word/numbering.xml" Id="R390828573d104254" /><Relationship Type="http://schemas.openxmlformats.org/officeDocument/2006/relationships/settings" Target="/word/settings.xml" Id="R09b27886d4964acb" /><Relationship Type="http://schemas.openxmlformats.org/officeDocument/2006/relationships/image" Target="/word/media/7218589b-4552-48e7-8c2e-ba56f1228cfe.png" Id="Rbd3a3de24d754bc7" /></Relationships>
</file>