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f76c451a97442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SKAC231</w:t>
            </w:r>
            <w:r>
              <w:rPr>
                <w:b/>
              </w:rPr>
              <w:br/>
            </w:r>
            <w:r>
              <w:rPr>
                <w:b/>
              </w:rPr>
              <w:t>Provide ground and substructure conditions for sport/play facilities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3e6ebba320945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81277b8bc184512" /><Relationship Type="http://schemas.openxmlformats.org/officeDocument/2006/relationships/numbering" Target="/word/numbering.xml" Id="R0e234f8f6a624835" /><Relationship Type="http://schemas.openxmlformats.org/officeDocument/2006/relationships/settings" Target="/word/settings.xml" Id="R21ba4f7d6c5047ca" /><Relationship Type="http://schemas.openxmlformats.org/officeDocument/2006/relationships/image" Target="/word/media/54158080-3b76-4560-91e1-048274c1fdfa.png" Id="R03e6ebba32094530" /></Relationships>
</file>