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3a3414847642c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FSPTCS03</w:t>
            </w:r>
            <w:r>
              <w:rPr>
                <w:b/>
              </w:rPr>
              <w:br/>
            </w:r>
            <w:r>
              <w:rPr>
                <w:b/>
              </w:rPr>
              <w:t>Analyse the regulatory requirements and principles that impact on the design or revision of a Training and Competence Scheme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fa0376901fb481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d0b80eb7a01431a" /><Relationship Type="http://schemas.openxmlformats.org/officeDocument/2006/relationships/numbering" Target="/word/numbering.xml" Id="R231bc13d2d824df3" /><Relationship Type="http://schemas.openxmlformats.org/officeDocument/2006/relationships/settings" Target="/word/settings.xml" Id="Rb8b2a6562de84f71" /><Relationship Type="http://schemas.openxmlformats.org/officeDocument/2006/relationships/image" Target="/word/media/696e9c2b-4d60-4f2f-83d0-79d5cf40cbf0.png" Id="R7fa0376901fb481a" /></Relationships>
</file>