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475e4a43844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SFJIB33</w:t>
            </w:r>
            <w:r>
              <w:rPr>
                <w:b/>
              </w:rPr>
              <w:br/>
            </w:r>
            <w:r>
              <w:rPr>
                <w:b/>
              </w:rPr>
              <w:t>Provide first line family law advice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1f8fef6f53f44f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2821af4ec534a2e" /><Relationship Type="http://schemas.openxmlformats.org/officeDocument/2006/relationships/numbering" Target="/word/numbering.xml" Id="R31e25ae18ac94a2c" /><Relationship Type="http://schemas.openxmlformats.org/officeDocument/2006/relationships/settings" Target="/word/settings.xml" Id="R30a8c90b10ae4f80" /><Relationship Type="http://schemas.openxmlformats.org/officeDocument/2006/relationships/image" Target="/word/media/b57c02d0-13a8-4ef4-a37e-c74ffab383d5.png" Id="R81f8fef6f53f44fb" /></Relationships>
</file>