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aa4821ed940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SFHCS21</w:t>
            </w:r>
            <w:r>
              <w:rPr>
                <w:b/>
              </w:rPr>
              <w:br/>
            </w:r>
            <w:r>
              <w:rPr>
                <w:b/>
              </w:rPr>
              <w:t>Monitor the health and well-being of children and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ee3b4c763e4d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efacc3dd044eba" /><Relationship Type="http://schemas.openxmlformats.org/officeDocument/2006/relationships/numbering" Target="/word/numbering.xml" Id="R2276a4d4c59d4ec3" /><Relationship Type="http://schemas.openxmlformats.org/officeDocument/2006/relationships/settings" Target="/word/settings.xml" Id="R3f760ef1a5924361" /><Relationship Type="http://schemas.openxmlformats.org/officeDocument/2006/relationships/image" Target="/word/media/fb17a2b4-228b-4d37-81f8-4888ad41da11.png" Id="R5cee3b4c763e4d8d" /></Relationships>
</file>