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b0af9fa8084a7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SFHHI4</w:t>
            </w:r>
            <w:r>
              <w:rPr>
                <w:b/>
              </w:rPr>
              <w:br/>
            </w:r>
            <w:r>
              <w:rPr>
                <w:b/>
              </w:rPr>
              <w:t>Manage information governance in a health context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64209c0ca3144c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f657756b44843aa" /><Relationship Type="http://schemas.openxmlformats.org/officeDocument/2006/relationships/numbering" Target="/word/numbering.xml" Id="R2bb21eed9c594697" /><Relationship Type="http://schemas.openxmlformats.org/officeDocument/2006/relationships/settings" Target="/word/settings.xml" Id="Rfd8cfa4749de498e" /><Relationship Type="http://schemas.openxmlformats.org/officeDocument/2006/relationships/image" Target="/word/media/5101d335-1f07-492c-96ea-0411650c5a05.png" Id="R564209c0ca3144c2" /></Relationships>
</file>