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098a041d348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SFHDiabGA4</w:t>
            </w:r>
            <w:r>
              <w:rPr>
                <w:b/>
              </w:rPr>
              <w:br/>
            </w:r>
            <w:r>
              <w:rPr>
                <w:b/>
              </w:rPr>
              <w:t>Inform individuals of a diagnosis of Type 2 diabetes or impaired glucose tolerance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ac88ff9162439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617ca5af284a48" /><Relationship Type="http://schemas.openxmlformats.org/officeDocument/2006/relationships/numbering" Target="/word/numbering.xml" Id="R62d3853f80774983" /><Relationship Type="http://schemas.openxmlformats.org/officeDocument/2006/relationships/settings" Target="/word/settings.xml" Id="R8ec8f9a8f2014d1b" /><Relationship Type="http://schemas.openxmlformats.org/officeDocument/2006/relationships/image" Target="/word/media/8b33552b-4271-44e4-97fb-c6731ad2908a.png" Id="R4cac88ff9162439f" /></Relationships>
</file>