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f45d29bbe6457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SFHGEN118</w:t>
            </w:r>
            <w:r>
              <w:rPr>
                <w:b/>
              </w:rPr>
              <w:br/>
            </w:r>
            <w:r>
              <w:rPr>
                <w:b/>
              </w:rPr>
              <w:t>Enable groups, communities and organisations to determine and plan how to address their issues and concerns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106592a9b854b6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6fcbdb53b194349" /><Relationship Type="http://schemas.openxmlformats.org/officeDocument/2006/relationships/numbering" Target="/word/numbering.xml" Id="Re0e4a8908abd4558" /><Relationship Type="http://schemas.openxmlformats.org/officeDocument/2006/relationships/settings" Target="/word/settings.xml" Id="R65646ece1b2e4883" /><Relationship Type="http://schemas.openxmlformats.org/officeDocument/2006/relationships/image" Target="/word/media/9961cb06-7ec4-4e7e-9a0a-64fa50472cbd.png" Id="R2106592a9b854b6c" /></Relationships>
</file>