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36f4c55eb046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SCDHSC0421L</w:t>
            </w:r>
            <w:r>
              <w:rPr>
                <w:b/>
              </w:rPr>
              <w:br/>
            </w:r>
            <w:r>
              <w:rPr>
                <w:b/>
              </w:rPr>
              <w:t>Promote employment, training and education opportunities for individuals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ceb6d9eb8a4a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e1f733c3e94b7f" /><Relationship Type="http://schemas.openxmlformats.org/officeDocument/2006/relationships/numbering" Target="/word/numbering.xml" Id="R22b8bca0911646be" /><Relationship Type="http://schemas.openxmlformats.org/officeDocument/2006/relationships/settings" Target="/word/settings.xml" Id="R01ea3a0f7db14f1a" /><Relationship Type="http://schemas.openxmlformats.org/officeDocument/2006/relationships/image" Target="/word/media/b816b0c7-4363-47ca-94c5-c26ad4b3be2b.png" Id="R58ceb6d9eb8a4a7a" /></Relationships>
</file>