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b371d7e8e1448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PROUSF2</w:t>
            </w:r>
            <w:r>
              <w:rPr>
                <w:b/>
              </w:rPr>
              <w:br/>
            </w:r>
            <w:r>
              <w:rPr>
                <w:b/>
              </w:rPr>
              <w:t>Cut fabrics and components for use in soft furnishings and/or upholstery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539f88014a540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8fe9c66bf7b4a7f" /><Relationship Type="http://schemas.openxmlformats.org/officeDocument/2006/relationships/numbering" Target="/word/numbering.xml" Id="R851f5b5cc97a4e75" /><Relationship Type="http://schemas.openxmlformats.org/officeDocument/2006/relationships/settings" Target="/word/settings.xml" Id="Rdeff5b61a70c47b0" /><Relationship Type="http://schemas.openxmlformats.org/officeDocument/2006/relationships/image" Target="/word/media/977ce298-49e0-4060-8d03-79396d61054f.png" Id="R2539f88014a54024" /></Relationships>
</file>