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55192e5dc24dd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CCSAPAH13</w:t>
            </w:r>
            <w:r>
              <w:rPr>
                <w:b/>
              </w:rPr>
              <w:br/>
            </w:r>
            <w:r>
              <w:rPr>
                <w:b/>
              </w:rPr>
              <w:t>Devise and implement methods to resource a cultural heritage organisation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52e0b036b5b40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cd426aa10544832" /><Relationship Type="http://schemas.openxmlformats.org/officeDocument/2006/relationships/numbering" Target="/word/numbering.xml" Id="Ra81701b38fd44d2b" /><Relationship Type="http://schemas.openxmlformats.org/officeDocument/2006/relationships/settings" Target="/word/settings.xml" Id="Rc11e1831587a463f" /><Relationship Type="http://schemas.openxmlformats.org/officeDocument/2006/relationships/image" Target="/word/media/b88a5827-3c98-4a8d-ac86-ef224d6e0e56.png" Id="R952e0b036b5b4085" /></Relationships>
</file>