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505528007f14dc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COSVR145</w:t>
            </w:r>
            <w:r>
              <w:rPr>
                <w:b/>
              </w:rPr>
              <w:br/>
            </w:r>
            <w:r>
              <w:rPr>
                <w:b/>
              </w:rPr>
              <w:t>Prepare backgrounds prior to laying decorative concrete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20ae02995454af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858f3da80114e1c" /><Relationship Type="http://schemas.openxmlformats.org/officeDocument/2006/relationships/numbering" Target="/word/numbering.xml" Id="Rbcf39c8fb6694de0" /><Relationship Type="http://schemas.openxmlformats.org/officeDocument/2006/relationships/settings" Target="/word/settings.xml" Id="R32c653e336374a19" /><Relationship Type="http://schemas.openxmlformats.org/officeDocument/2006/relationships/image" Target="/word/media/44c258b3-c30b-4c0d-bd8a-9c9c6335307a.png" Id="R020ae02995454afc" /></Relationships>
</file>