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86e7f753aa9435a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SEMCAW411</w:t>
            </w:r>
            <w:r>
              <w:rPr>
                <w:b/>
              </w:rPr>
              <w:br/>
            </w:r>
            <w:r>
              <w:rPr>
                <w:b/>
              </w:rPr>
              <w:t>Negotiate in a continuing airworthiness environment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a37541087edd47f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430d4e765d494bf0" /><Relationship Type="http://schemas.openxmlformats.org/officeDocument/2006/relationships/numbering" Target="/word/numbering.xml" Id="Rc9ffbf5af1514e4c" /><Relationship Type="http://schemas.openxmlformats.org/officeDocument/2006/relationships/settings" Target="/word/settings.xml" Id="R027892008eaf49ce" /><Relationship Type="http://schemas.openxmlformats.org/officeDocument/2006/relationships/image" Target="/word/media/9a26eee7-1556-4be0-a0c0-b15aabc75f2d.png" Id="Ra37541087edd47f8" /></Relationships>
</file>