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c4a243586c44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SEMCAW404</w:t>
            </w:r>
            <w:r>
              <w:rPr>
                <w:b/>
              </w:rPr>
              <w:br/>
            </w:r>
            <w:r>
              <w:rPr>
                <w:b/>
              </w:rPr>
              <w:t>Identify, monitor and resolve aircraft maintenance programme problems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648569ebdc4e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857a2c7bd584f0d" /><Relationship Type="http://schemas.openxmlformats.org/officeDocument/2006/relationships/numbering" Target="/word/numbering.xml" Id="Rd3a225a9fa3a4d54" /><Relationship Type="http://schemas.openxmlformats.org/officeDocument/2006/relationships/settings" Target="/word/settings.xml" Id="R89e35dff6f46426d" /><Relationship Type="http://schemas.openxmlformats.org/officeDocument/2006/relationships/image" Target="/word/media/2d345e3b-5c2a-40ca-9ea0-01c7699bafa8.png" Id="R12648569ebdc4e70" /></Relationships>
</file>