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c605b03f6b34bc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IMIHGPSV20</w:t>
            </w:r>
            <w:r>
              <w:rPr>
                <w:b/>
              </w:rPr>
              <w:br/>
            </w:r>
            <w:r>
              <w:rPr>
                <w:b/>
              </w:rPr>
              <w:t>Provide a first response to a broken down or damaged heavy goods or public service vehicle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be4ceadd58f4fd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attending an incident, following risk assessment procedures, securing the site and vehicle and then making decisions for further action. This may involve conducting basic repairs on the vehicle to enable onward journey or initiating recovery of the vehicle and the people involved. It also includes providing information to, and seeking guidance from, relevant specialist authorities where hazardous substances or situations may be involved.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13d64a3cd1b43d5" /><Relationship Type="http://schemas.openxmlformats.org/officeDocument/2006/relationships/numbering" Target="/word/numbering.xml" Id="Radec6fdfd2194cf6" /><Relationship Type="http://schemas.openxmlformats.org/officeDocument/2006/relationships/settings" Target="/word/settings.xml" Id="Re98fce7df629437d" /><Relationship Type="http://schemas.openxmlformats.org/officeDocument/2006/relationships/image" Target="/word/media/5ac730a9-6cae-458f-939e-588e0295e2fe.png" Id="R8be4ceadd58f4fd7" /></Relationships>
</file>