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91a9ee84f440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IMIHGPSV13</w:t>
            </w:r>
            <w:r>
              <w:rPr>
                <w:b/>
              </w:rPr>
              <w:br/>
            </w:r>
            <w:r>
              <w:rPr>
                <w:b/>
              </w:rPr>
              <w:t>Diagnose and rectify heavy goods and public service vehicle transmission and driveline system faults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e106b0ce0f4f5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diagnosing and rectifying faults occurring within heavy goods and public service vehicle gearboxes, axles and bearings, driveline, final drive and clutches, including those which incorporate electric and hybrid driveline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2c55bb19ae445f" /><Relationship Type="http://schemas.openxmlformats.org/officeDocument/2006/relationships/numbering" Target="/word/numbering.xml" Id="Ra1c0a27a651f418a" /><Relationship Type="http://schemas.openxmlformats.org/officeDocument/2006/relationships/settings" Target="/word/settings.xml" Id="R8459186e5cbe4311" /><Relationship Type="http://schemas.openxmlformats.org/officeDocument/2006/relationships/image" Target="/word/media/46d80150-30a0-4321-b373-e2f063143759.png" Id="Rc5e106b0ce0f4f5d" /></Relationships>
</file>