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d6f44b508147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IMIHGPSV12</w:t>
            </w:r>
            <w:r>
              <w:rPr>
                <w:b/>
              </w:rPr>
              <w:br/>
            </w:r>
            <w:r>
              <w:rPr>
                <w:b/>
              </w:rPr>
              <w:t>Remove and replace heavy goods and public service vehicle transmission and driveline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a825836db046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replacing heavy goods and public service vehicle units and components where dismantling and re-assembly of transmission and driveline systems is required, including those which incorporate electric and hybrid driveline systems. It is also about evaluating the performance of replaced units and components. The units and components concerned are those not replaced as part of normal routine vehicle maintenance (servicing)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89dfd640524446" /><Relationship Type="http://schemas.openxmlformats.org/officeDocument/2006/relationships/numbering" Target="/word/numbering.xml" Id="Rb78d1693a21b4529" /><Relationship Type="http://schemas.openxmlformats.org/officeDocument/2006/relationships/settings" Target="/word/settings.xml" Id="R0b848549bd1a4b31" /><Relationship Type="http://schemas.openxmlformats.org/officeDocument/2006/relationships/image" Target="/word/media/5983c2ff-fe07-4e29-9a91-bcb3bee66c4d.png" Id="Rafa825836db046ff" /></Relationships>
</file>