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75a06877040b4db2"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IMIMC04</w:t>
            </w:r>
            <w:r>
              <w:rPr>
                <w:b/>
              </w:rPr>
              <w:br/>
            </w:r>
            <w:r>
              <w:rPr>
                <w:b/>
              </w:rPr>
              <w:t>Remove and replace motorcycle steering, brakes and suspension units and components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b13b6647a1864162"/>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removing and replacing units and components where dismantling and re-assembly of motorcycle steering, brakes, suspension systems, including wheels and tyres are required. It is also about evaluating the performance of replaced units and components. The units and components concerned are those not replaced as part of normal routine motorcycle maintenance (servicing) activities.</w:t>
      </w:r>
    </w:p>
    <w:p>
      <w:pPr/>
      <w:r>
        <w:rPr>
          <w:lang w:val="en-GB"/>
        </w:rPr>
        <w:br/>
      </w:r>
    </w:p>
    <w:p>
      <w:pPr/>
      <w:r>
        <w:rPr>
          <w:lang w:val="en-GB"/>
        </w:rPr>
        <w:t xml:space="preserve">In this standard the term ‘motorcycle’ includes motorcycles, scooters, mopeds and motorcycle-derived vehicles with three wheels on which the rider sits. This standard does not cover quad bikes. These are covered by a separate standard. </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28331ac917b041cd" /><Relationship Type="http://schemas.openxmlformats.org/officeDocument/2006/relationships/numbering" Target="/word/numbering.xml" Id="R1741ddc825524bb1" /><Relationship Type="http://schemas.openxmlformats.org/officeDocument/2006/relationships/settings" Target="/word/settings.xml" Id="R8064f4613453411b" /><Relationship Type="http://schemas.openxmlformats.org/officeDocument/2006/relationships/image" Target="/word/media/7934896d-e5b7-4a40-9c3f-3d537597b58d.png" Id="Rb13b6647a1864162" /></Relationships>
</file>