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0a5accfc79468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TECDT50931</w:t>
            </w:r>
            <w:r>
              <w:rPr>
                <w:b/>
              </w:rPr>
              <w:br/>
            </w:r>
            <w:r>
              <w:rPr>
                <w:b/>
              </w:rPr>
              <w:t>Review software user interfaces for digital accessibility compliance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8cc4ef72724d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reviewing user interfaces used in websites, mobile phone and computer applications for  compliance with digital accessibility standards.</w:t>
      </w:r>
    </w:p>
    <w:p>
      <w:pPr/>
      <w:r>
        <w:rPr>
          <w:lang w:val="en-GB"/>
        </w:rPr>
        <w:t>This involves planning and reviewing digital content provision to ensure compliance with digital accessibility standards. This includes focusing on digital accessibility requirements in a user-focused way to provide a testing strategy for websites and applications. This also includes ensuring the implementation of organisational processes and practices provides a robust framework for maintaining digital accessibility, ensuring digital websites are inclusive and accessible for everyone.</w:t>
      </w:r>
    </w:p>
    <w:p>
      <w:pPr/>
      <w:r>
        <w:rPr>
          <w:lang w:val="en-GB"/>
        </w:rPr>
        <w:t>This standard is for those who need to undertake website and digital content compliance reviews for digital accessibility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Review website, mobile phone and computer application design specifications to determine intended functionality </w:t>
      </w:r>
    </w:p>
    <w:p>
      <w:pPr>
        <w:numPr>
          <w:ilvl w:val="0"/>
          <w:numId w:val="1"/>
        </w:numPr>
      </w:pPr>
      <w:r>
        <w:t>Plan accessibility tests in line with regulatory requirements and organisational standards</w:t>
      </w:r>
    </w:p>
    <w:p>
      <w:pPr>
        <w:numPr>
          <w:ilvl w:val="0"/>
          <w:numId w:val="1"/>
        </w:numPr>
      </w:pPr>
      <w:r>
        <w:t>Perform accessibility tests of software user interfaces in line with organisational standards</w:t>
      </w:r>
    </w:p>
    <w:p>
      <w:pPr>
        <w:numPr>
          <w:ilvl w:val="0"/>
          <w:numId w:val="1"/>
        </w:numPr>
      </w:pPr>
      <w:r>
        <w:t>Evaluate the outcomes of accessibility testing to identify areas of noncompliance</w:t>
      </w:r>
    </w:p>
    <w:p>
      <w:pPr>
        <w:numPr>
          <w:ilvl w:val="0"/>
          <w:numId w:val="1"/>
        </w:numPr>
      </w:pPr>
      <w:r>
        <w:t>Record user interface accessibility evaluation outcomes in line with organisational requirements</w:t>
      </w:r>
    </w:p>
    <w:p>
      <w:pPr>
        <w:numPr>
          <w:ilvl w:val="0"/>
          <w:numId w:val="1"/>
        </w:numPr>
      </w:pPr>
      <w:r>
        <w:t>Resolve areas of accessibility noncompliance with developers</w:t>
      </w:r>
    </w:p>
    <w:p>
      <w:pPr>
        <w:numPr>
          <w:ilvl w:val="0"/>
          <w:numId w:val="1"/>
        </w:numPr>
      </w:pPr>
      <w:r>
        <w:t>Identify any unresolved accessibility issues and issue noncompliance notes in line with organisational standards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importance of digital accessibility in ensuring all users can engage with websites, mobile phone and computer applications</w:t>
      </w:r>
    </w:p>
    <w:p>
      <w:pPr>
        <w:numPr>
          <w:ilvl w:val="0"/>
          <w:numId w:val="2"/>
        </w:numPr>
      </w:pPr>
      <w:r>
        <w:t>The international standards and organisational policies for software accessibility</w:t>
      </w:r>
    </w:p>
    <w:p>
      <w:pPr>
        <w:numPr>
          <w:ilvl w:val="0"/>
          <w:numId w:val="2"/>
        </w:numPr>
      </w:pPr>
      <w:r>
        <w:t>The accessibility design requirements that relate to user  interface design</w:t>
      </w:r>
    </w:p>
    <w:p>
      <w:pPr>
        <w:numPr>
          <w:ilvl w:val="0"/>
          <w:numId w:val="2"/>
        </w:numPr>
      </w:pPr>
      <w:r>
        <w:t>The tests and checks that need to be planned for adherence to applicable accessibility standards, style guidelines, and legislation</w:t>
      </w:r>
    </w:p>
    <w:p>
      <w:pPr>
        <w:numPr>
          <w:ilvl w:val="0"/>
          <w:numId w:val="2"/>
        </w:numPr>
      </w:pPr>
      <w:r>
        <w:t>How to evaluate a user interface for accessibility compliance</w:t>
      </w:r>
    </w:p>
    <w:p>
      <w:pPr>
        <w:numPr>
          <w:ilvl w:val="0"/>
          <w:numId w:val="2"/>
        </w:numPr>
      </w:pPr>
      <w:r>
        <w:t>How to analyse user interface evaluation data</w:t>
      </w:r>
    </w:p>
    <w:p>
      <w:pPr>
        <w:numPr>
          <w:ilvl w:val="0"/>
          <w:numId w:val="2"/>
        </w:numPr>
      </w:pPr>
      <w:r>
        <w:t>How to record benchmark values for user interface accessibility</w:t>
      </w:r>
    </w:p>
    <w:p>
      <w:pPr>
        <w:numPr>
          <w:ilvl w:val="0"/>
          <w:numId w:val="2"/>
        </w:numPr>
      </w:pPr>
      <w:r>
        <w:t>The importance of recommending actions as an input to user interface design to resolve accessibility issues</w:t>
      </w:r>
    </w:p>
    <w:p>
      <w:pPr>
        <w:numPr>
          <w:ilvl w:val="0"/>
          <w:numId w:val="2"/>
        </w:numPr>
      </w:pPr>
      <w:r>
        <w:t>The need to publish any accessibility issues that remain unresolved</w:t>
      </w:r>
    </w:p>
    <w:p>
      <w:pPr>
        <w:numPr>
          <w:ilvl w:val="0"/>
          <w:numId w:val="2"/>
        </w:numPr>
      </w:pPr>
      <w:r>
        <w:t>The importance of revising user interface design procedures to avoid digital accessibility issues arising</w:t>
      </w:r>
    </w:p>
    <w:p>
      <w:pPr>
        <w:numPr>
          <w:ilvl w:val="0"/>
          <w:numId w:val="2"/>
        </w:numPr>
      </w:pPr>
      <w:r>
        <w:t>How to work with wider IT Teams and non-technical staff in the context of digital accessibility changes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TECDT50931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and Telecoms Professional (procom)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accessibility, web design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8BD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CF103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f58a99acaf496e" /><Relationship Type="http://schemas.openxmlformats.org/officeDocument/2006/relationships/numbering" Target="/word/numbering.xml" Id="Rc4ea5bbe1dfe4b40" /><Relationship Type="http://schemas.openxmlformats.org/officeDocument/2006/relationships/settings" Target="/word/settings.xml" Id="R275a7dd215ed4469" /><Relationship Type="http://schemas.openxmlformats.org/officeDocument/2006/relationships/image" Target="/word/media/d568aa6f-cb9c-47ce-acfb-5650bb77d98d.png" Id="R0a8cc4ef72724d9f" /></Relationships>
</file>