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5edc5b3ce94c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INSSMA10</w:t>
            </w:r>
            <w:r>
              <w:rPr>
                <w:b/>
              </w:rPr>
              <w:br/>
            </w:r>
            <w:r>
              <w:rPr>
                <w:b/>
              </w:rPr>
              <w:t>Develop a branding strategy for social marketing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2dee34877d48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developing and maintaining a branding strategy for a social marketing programme. The brand and its characteristics underpin the desired relationship with the target groups, partners and key stakeholders. This standard is not intended to cover the design of possible symbols to represent the brand. Developing a brand strategy is a cyclical activity, with many iterative loops, so the performance criteria are not necessarily in chronological order.</w:t>
      </w:r>
    </w:p>
    <w:p>
      <w:pPr/>
      <w:r>
        <w:rPr>
          <w:lang w:val="en-GB"/>
        </w:rPr>
        <w:t>This standard is for professionals in strategic or managerial roles involved in creation and development of branding strategies to support social marketing programme. These marketers may be employed directly by the organisation, or work for an agency, consultancy.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business case for developing a brand for the social marketing programme</w:t>
      </w:r>
    </w:p>
    <w:p>
      <w:pPr>
        <w:numPr>
          <w:ilvl w:val="0"/>
          <w:numId w:val="1"/>
        </w:numPr>
      </w:pPr>
      <w:r>
        <w:t>develop and present your rationale to support the brand development</w:t>
      </w:r>
    </w:p>
    <w:p>
      <w:pPr>
        <w:numPr>
          <w:ilvl w:val="0"/>
          <w:numId w:val="1"/>
        </w:numPr>
      </w:pPr>
      <w:r>
        <w:t>determine and agree with target groups, partners and key stakeholders the objectives and strategy for the branding</w:t>
      </w:r>
    </w:p>
    <w:p>
      <w:pPr>
        <w:numPr>
          <w:ilvl w:val="0"/>
          <w:numId w:val="1"/>
        </w:numPr>
      </w:pPr>
      <w:r>
        <w:t>engage with the target groups, partners and key stakeholders throughout the development and realisation of the brand</w:t>
      </w:r>
    </w:p>
    <w:p>
      <w:pPr>
        <w:numPr>
          <w:ilvl w:val="0"/>
          <w:numId w:val="1"/>
        </w:numPr>
      </w:pPr>
      <w:r>
        <w:t>develop and implement the strategies for ensuring the brand values are delivered to the relevant audiences</w:t>
      </w:r>
    </w:p>
    <w:p>
      <w:pPr>
        <w:numPr>
          <w:ilvl w:val="0"/>
          <w:numId w:val="1"/>
        </w:numPr>
      </w:pPr>
      <w:r>
        <w:t>develop and implement a management plan to ensure that the brand maintains a solid reputation and image</w:t>
      </w:r>
    </w:p>
    <w:p>
      <w:pPr>
        <w:numPr>
          <w:ilvl w:val="0"/>
          <w:numId w:val="1"/>
        </w:numPr>
      </w:pPr>
      <w:r>
        <w:t>interpret the evidence and results gained from the research to set out the concept of the brand and its values</w:t>
      </w:r>
    </w:p>
    <w:p>
      <w:pPr>
        <w:numPr>
          <w:ilvl w:val="0"/>
          <w:numId w:val="1"/>
        </w:numPr>
      </w:pPr>
      <w:r>
        <w:t>review current brands to establish whether a similar brand already exists</w:t>
      </w:r>
    </w:p>
    <w:p>
      <w:pPr>
        <w:numPr>
          <w:ilvl w:val="0"/>
          <w:numId w:val="1"/>
        </w:numPr>
      </w:pPr>
      <w:r>
        <w:t>develop brand name and design its options in accordance with the strategic objectives</w:t>
      </w:r>
    </w:p>
    <w:p>
      <w:pPr>
        <w:numPr>
          <w:ilvl w:val="0"/>
          <w:numId w:val="1"/>
        </w:numPr>
      </w:pPr>
      <w:r>
        <w:t>confirm that the brand name does not breach the copyright or is not confused with other brands</w:t>
      </w:r>
    </w:p>
    <w:p>
      <w:pPr>
        <w:numPr>
          <w:ilvl w:val="0"/>
          <w:numId w:val="1"/>
        </w:numPr>
      </w:pPr>
      <w:r>
        <w:t>confirm with the target groups, partners and key stakeholders that your brand is recognisable and memorable</w:t>
      </w:r>
    </w:p>
    <w:p>
      <w:pPr>
        <w:numPr>
          <w:ilvl w:val="0"/>
          <w:numId w:val="1"/>
        </w:numPr>
      </w:pPr>
      <w:r>
        <w:t>pre-test the brand to ensure target groups, partners and key stakeholders accept it</w:t>
      </w:r>
    </w:p>
    <w:p>
      <w:pPr>
        <w:numPr>
          <w:ilvl w:val="0"/>
          <w:numId w:val="1"/>
        </w:numPr>
      </w:pPr>
      <w:r>
        <w:t>arrange registration of trademarks, where necessary</w:t>
      </w:r>
    </w:p>
    <w:p>
      <w:pPr>
        <w:numPr>
          <w:ilvl w:val="0"/>
          <w:numId w:val="1"/>
        </w:numPr>
      </w:pPr>
      <w:r>
        <w:t>ensure that all necessary components of the marketing mix are in place to deliver the brand values</w:t>
      </w:r>
    </w:p>
    <w:p>
      <w:pPr>
        <w:numPr>
          <w:ilvl w:val="0"/>
          <w:numId w:val="1"/>
        </w:numPr>
      </w:pPr>
      <w:r>
        <w:t>develop and implement a brand evaluation mechanism to monitor its image, relevance, trust and loyalty</w:t>
      </w:r>
    </w:p>
    <w:p>
      <w:pPr>
        <w:numPr>
          <w:ilvl w:val="0"/>
          <w:numId w:val="1"/>
        </w:numPr>
      </w:pPr>
      <w:r>
        <w:t>review and develop the brand in response to feedback from monitoring and evaluation procedures</w:t>
      </w:r>
    </w:p>
    <w:p>
      <w:pPr>
        <w:numPr>
          <w:ilvl w:val="0"/>
          <w:numId w:val="1"/>
        </w:numPr>
      </w:pPr>
      <w:r>
        <w:t>ensure compliance with 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business case for developing a brand for the social marketing programme</w:t>
      </w:r>
    </w:p>
    <w:p>
      <w:pPr>
        <w:numPr>
          <w:ilvl w:val="0"/>
          <w:numId w:val="2"/>
        </w:numPr>
      </w:pPr>
      <w:r>
        <w:t>the rationale for supporting the brand development</w:t>
      </w:r>
    </w:p>
    <w:p>
      <w:pPr>
        <w:numPr>
          <w:ilvl w:val="0"/>
          <w:numId w:val="2"/>
        </w:numPr>
      </w:pPr>
      <w:r>
        <w:t>the relevant stakeholders, target groups, their diverse interests, needs, abilities and preferences</w:t>
      </w:r>
    </w:p>
    <w:p>
      <w:pPr>
        <w:numPr>
          <w:ilvl w:val="0"/>
          <w:numId w:val="2"/>
        </w:numPr>
      </w:pPr>
      <w:r>
        <w:t>the current and emerging trends and developments in the sector internationally, nationally and locally</w:t>
      </w:r>
    </w:p>
    <w:p>
      <w:pPr>
        <w:numPr>
          <w:ilvl w:val="0"/>
          <w:numId w:val="2"/>
        </w:numPr>
      </w:pPr>
      <w:r>
        <w:t>the social marketing compatible marketing mix models</w:t>
      </w:r>
    </w:p>
    <w:p>
      <w:pPr>
        <w:numPr>
          <w:ilvl w:val="0"/>
          <w:numId w:val="2"/>
        </w:numPr>
      </w:pPr>
      <w:r>
        <w:t>how to seek the target groups', partners' and key stakeholders' approval of the branding objectives and strategies</w:t>
      </w:r>
    </w:p>
    <w:p>
      <w:pPr>
        <w:numPr>
          <w:ilvl w:val="0"/>
          <w:numId w:val="2"/>
        </w:numPr>
      </w:pPr>
      <w:r>
        <w:t>the relevant principles, methods, tools and techniques for engaging with partners, key stakeholders and target groups, including vulnerable and hard-to-reach groups</w:t>
      </w:r>
    </w:p>
    <w:p>
      <w:pPr>
        <w:numPr>
          <w:ilvl w:val="0"/>
          <w:numId w:val="2"/>
        </w:numPr>
      </w:pPr>
      <w:r>
        <w:t>the relevant techniques for ensuring the brand maintains a solid reputation and image</w:t>
      </w:r>
    </w:p>
    <w:p>
      <w:pPr>
        <w:numPr>
          <w:ilvl w:val="0"/>
          <w:numId w:val="2"/>
        </w:numPr>
      </w:pPr>
      <w:r>
        <w:t>the principles of setting up the concept of the brand, its values and its promise</w:t>
      </w:r>
    </w:p>
    <w:p>
      <w:pPr>
        <w:numPr>
          <w:ilvl w:val="0"/>
          <w:numId w:val="2"/>
        </w:numPr>
      </w:pPr>
      <w:r>
        <w:t>the connection of the brand with the target groups, partners and key stakeholders</w:t>
      </w:r>
    </w:p>
    <w:p>
      <w:pPr>
        <w:numPr>
          <w:ilvl w:val="0"/>
          <w:numId w:val="2"/>
        </w:numPr>
      </w:pPr>
      <w:r>
        <w:t>how to check that there is no duplication with another brand or copyright breach</w:t>
      </w:r>
    </w:p>
    <w:p>
      <w:pPr>
        <w:numPr>
          <w:ilvl w:val="0"/>
          <w:numId w:val="2"/>
        </w:numPr>
      </w:pPr>
      <w:r>
        <w:t>the principles of ensuring the brand design is consistent and aligned with its meaning and objectives</w:t>
      </w:r>
    </w:p>
    <w:p>
      <w:pPr>
        <w:numPr>
          <w:ilvl w:val="0"/>
          <w:numId w:val="2"/>
        </w:numPr>
      </w:pPr>
      <w:r>
        <w:t>how to pre-test the brand to ensure it is acceptable and recognisable</w:t>
      </w:r>
    </w:p>
    <w:p>
      <w:pPr>
        <w:numPr>
          <w:ilvl w:val="0"/>
          <w:numId w:val="2"/>
        </w:numPr>
      </w:pPr>
      <w:r>
        <w:t>the process and procedures for trademark registration</w:t>
      </w:r>
    </w:p>
    <w:p>
      <w:pPr>
        <w:numPr>
          <w:ilvl w:val="0"/>
          <w:numId w:val="2"/>
        </w:numPr>
      </w:pPr>
      <w:r>
        <w:t>the marketing mix components for the brand</w:t>
      </w:r>
    </w:p>
    <w:p>
      <w:pPr>
        <w:numPr>
          <w:ilvl w:val="0"/>
          <w:numId w:val="2"/>
        </w:numPr>
      </w:pPr>
      <w:r>
        <w:t>the engagement with target groups, partners and key stakeholders for delivery of the brand</w:t>
      </w:r>
    </w:p>
    <w:p>
      <w:pPr>
        <w:numPr>
          <w:ilvl w:val="0"/>
          <w:numId w:val="2"/>
        </w:numPr>
      </w:pPr>
      <w:r>
        <w:t>the relevant brand evaluation mechanisms to monitor its image, relevance, trust and loyalty</w:t>
      </w:r>
    </w:p>
    <w:p>
      <w:pPr>
        <w:numPr>
          <w:ilvl w:val="0"/>
          <w:numId w:val="2"/>
        </w:numPr>
      </w:pPr>
      <w:r>
        <w:t>the importance of keeping up to date with evidence based best practice guidance and ethics</w:t>
      </w:r>
    </w:p>
    <w:p>
      <w:pPr>
        <w:numPr>
          <w:ilvl w:val="0"/>
          <w:numId w:val="2"/>
        </w:numPr>
      </w:pPr>
      <w:r>
        <w:t>the relevant monitoring procedures following the feedback received target groups, partners and key stakeholders</w:t>
      </w:r>
    </w:p>
    <w:p>
      <w:pPr>
        <w:numPr>
          <w:ilvl w:val="0"/>
          <w:numId w:val="2"/>
        </w:numPr>
      </w:pPr>
      <w:r>
        <w:t>the legal, organisational, code of practice requirements and policies relevant to your role, your organisation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Social marketing programme</w:t>
      </w:r>
    </w:p>
    <w:p>
      <w:pPr/>
      <w:r>
        <w:rPr>
          <w:lang w:val="en-GB"/>
        </w:rPr>
        <w:t>As used in the standards, "social marketing programme" encompasses longer-term (3 years) programmes, medium-term (1-3 years) campaigns and short-term (&lt;1 year) targeted initiatives.</w:t>
      </w:r>
    </w:p>
    <w:p>
      <w:pPr/>
      <w:r>
        <w:rPr>
          <w:lang w:val="en-GB"/>
        </w:rPr>
        <w:t>Stakeholders</w:t>
      </w:r>
    </w:p>
    <w:p>
      <w:pPr/>
      <w:r>
        <w:rPr>
          <w:lang w:val="en-GB"/>
        </w:rPr>
        <w:t>These include all those involved in, or affected by, the social marketing strategy and the issues it is seeking to address.</w:t>
      </w:r>
    </w:p>
    <w:p>
      <w:pPr/>
      <w:r>
        <w:rPr>
          <w:lang w:val="en-GB"/>
          <w:b/>
        </w:rPr>
        <w:t>External Links</w:t>
      </w:r>
      <w:r>
        <w:rPr>
          <w:lang w:val="en-GB"/>
          <w:b/>
        </w:rPr>
        <w:br/>
      </w:r>
    </w:p>
    <w:p>
      <w:pPr/>
      <w:r>
        <w:rPr>
          <w:lang w:val="en-GB"/>
        </w:rPr>
        <w:t xml:space="preserve">Academic Competencies in Social Marketing developed and approved by International Social Marketing Association (iSMA), European Social Marketing Association (ESMA), Australian Association of Social Marketing (AASM). </w:t>
      </w:r>
    </w:p>
    <w:p>
      <w:pPr/>
      <w:r>
        <w:rPr>
          <w:lang w:val="en-GB"/>
        </w:rPr>
        <w:t>https://socialmarketing.blogs.com/r</w:t>
      </w:r>
    </w:p>
    <w:p>
      <w:pPr/>
      <w:r>
        <w:rPr>
          <w:lang w:val="en-GB"/>
        </w:rPr>
        <w:t>craiig</w:t>
      </w:r>
    </w:p>
    <w:p>
      <w:pPr/>
      <w:r>
        <w:rPr>
          <w:lang w:val="en-GB"/>
        </w:rPr>
        <w:t>lefebvres_social/2014/09/academic-competencies-for-social-marketing.html</w:t>
      </w:r>
    </w:p>
    <w:p>
      <w:pPr/>
      <w:r>
        <w:rPr>
          <w:lang w:val="en-GB"/>
        </w:rPr>
        <w:t xml:space="preserve">Social Marketing Statement of Ethics: </w:t>
      </w:r>
    </w:p>
    <w:p>
      <w:pPr/>
      <w:r>
        <w:rPr>
          <w:lang w:val="en-GB"/>
        </w:rPr>
        <w:t>https://www.instructus-skills.org/documents/SM%20statement%20of%20ethics%20FINAL%2006032020.pdf</w:t>
      </w:r>
    </w:p>
    <w:p>
      <w:pPr/>
      <w:r>
        <w:rPr>
          <w:lang w:val="en-GB"/>
        </w:rPr>
        <w:t xml:space="preserve"> </w:t>
      </w:r>
    </w:p>
    <w:p>
      <w:pPr/>
      <w:r>
        <w:rPr>
          <w:lang w:val="en-GB"/>
        </w:rPr>
        <w:br/>
      </w:r>
    </w:p>
    <w:p>
      <w:pPr/>
      <w:r>
        <w:rPr>
          <w:lang w:val="en-GB"/>
        </w:rPr>
        <w:t xml:space="preserve">Global Consensus of Social Marketing Principles, Concepts and Techniques by ESMA, AAS, SMANA, iSMA: </w:t>
      </w:r>
    </w:p>
    <w:p>
      <w:pPr/>
      <w:r>
        <w:rPr>
          <w:lang w:val="en-GB"/>
        </w:rPr>
        <w:t>https://europeansocialmarketing.org/wp-content/uploads/2017/08/ESMA-endorsed-Consensus-Principles-and-concepts-paper.pdf</w:t>
      </w:r>
    </w:p>
    <w:p>
      <w:pPr/>
      <w:r>
        <w:rPr>
          <w:lang w:val="en-GB"/>
        </w:rPr>
        <w:t> </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24 Mar 2020</w:t>
      </w:r>
      <w:r>
        <w:rPr>
          <w:lang w:val="en-GB"/>
        </w:rPr>
        <w:br/>
      </w:r>
    </w:p>
    <w:p>
      <w:pPr/>
      <w:r>
        <w:rPr>
          <w:lang w:val="en-GB"/>
          <w:b/>
        </w:rPr>
        <w:t>Indicative Review Date</w:t>
      </w:r>
    </w:p>
    <w:p>
      <w:pPr/>
      <w:r>
        <w:rPr>
          <w:lang w:val="en-GB"/>
        </w:rPr>
        <w:t>24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CFASMB3.1V3.0</w:t>
      </w:r>
      <w:r>
        <w:rPr>
          <w:lang w:val="en-GB"/>
        </w:rPr>
        <w:br/>
      </w:r>
    </w:p>
    <w:p>
      <w:pPr/>
      <w:r>
        <w:rPr>
          <w:lang w:val="en-GB"/>
          <w:b/>
        </w:rPr>
        <w:t>Relevant Occupations</w:t>
      </w:r>
    </w:p>
    <w:p>
      <w:pPr/>
      <w:r>
        <w:rPr>
          <w:lang w:val="en-GB"/>
        </w:rPr>
        <w:t>Education and Training, Government and Related Organisations, Health and Social Care, Public Service and other Associate Professionals, Sociology and Social Policy, Teaching Professionals, Social Policy Organisations</w:t>
      </w:r>
      <w:r>
        <w:rPr>
          <w:lang w:val="en-GB"/>
        </w:rPr>
        <w:br/>
      </w:r>
    </w:p>
    <w:p>
      <w:pPr/>
      <w:r>
        <w:rPr>
          <w:lang w:val="en-GB"/>
          <w:b/>
        </w:rPr>
        <w:t>Suite</w:t>
      </w:r>
    </w:p>
    <w:p>
      <w:pPr/>
      <w:r>
        <w:rPr>
          <w:lang w:val="en-GB"/>
        </w:rPr>
        <w:t>Social Marketing</w:t>
      </w:r>
      <w:r>
        <w:rPr>
          <w:lang w:val="en-GB"/>
        </w:rPr>
        <w:br/>
      </w:r>
    </w:p>
    <w:p>
      <w:pPr/>
      <w:r>
        <w:rPr>
          <w:lang w:val="en-GB"/>
          <w:b/>
        </w:rPr>
        <w:t>Keywords</w:t>
      </w:r>
    </w:p>
    <w:p>
      <w:pPr/>
      <w:r>
        <w:rPr>
          <w:lang w:val="en-GB"/>
        </w:rPr>
        <w:t>social marketing strategies; corporate social responsibility strategies; branding strategy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628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309F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69d8db89534093" /><Relationship Type="http://schemas.openxmlformats.org/officeDocument/2006/relationships/numbering" Target="/word/numbering.xml" Id="R7b62ced8aebc4965" /><Relationship Type="http://schemas.openxmlformats.org/officeDocument/2006/relationships/settings" Target="/word/settings.xml" Id="R761ccff6f6c64234" /><Relationship Type="http://schemas.openxmlformats.org/officeDocument/2006/relationships/image" Target="/word/media/42f34f30-bead-4db1-8e85-3b546ae3222d.png" Id="R202dee34877d48f3" /></Relationships>
</file>